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after="156" w:afterLines="50" w:line="4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2019年度部门整体支出绩效自评表</w:t>
      </w:r>
    </w:p>
    <w:bookmarkEnd w:id="0"/>
    <w:p>
      <w:pPr>
        <w:widowControl/>
        <w:spacing w:after="156" w:afterLines="50" w:line="40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Cs w:val="21"/>
        </w:rPr>
        <w:t>　　　　　　　　　　　　　　　　　　　　　　　　　　　　　　　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单位：万元</w:t>
      </w:r>
    </w:p>
    <w:tbl>
      <w:tblPr>
        <w:tblStyle w:val="2"/>
        <w:tblW w:w="10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3"/>
        <w:gridCol w:w="934"/>
        <w:gridCol w:w="1248"/>
        <w:gridCol w:w="93"/>
        <w:gridCol w:w="1820"/>
        <w:gridCol w:w="1056"/>
        <w:gridCol w:w="931"/>
        <w:gridCol w:w="846"/>
        <w:gridCol w:w="1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省级预算部门名称</w:t>
            </w:r>
          </w:p>
        </w:tc>
        <w:tc>
          <w:tcPr>
            <w:tcW w:w="90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湖南省煤田地质局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算申请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预算数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全年预算数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执行率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36672.67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51259.09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46824.98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91.35%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其中：  一般公共预算：28254.86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其中：基本支出：20087.06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政府性基金拨款：23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项目支出：3086.31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纳入专户管理的非税收入拨款：0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其他资金：22981.23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楷体_GB2312" w:eastAsia="楷体_GB2312" w:cs="楷体_GB2312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　党建工作持续加强，改革工作稳妥推进，地质工作有为有效，经济运行平稳过渡，队伍建设和谐稳定</w:t>
            </w:r>
          </w:p>
        </w:tc>
        <w:tc>
          <w:tcPr>
            <w:tcW w:w="3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按照年度总体目标，有序推进各项工作，已完成预期目标。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收入完成率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（预算收入实际完成数/收入预算数）*100%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142.28%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支出完成率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（预算支出完成数/支出预算数）*100%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123.62%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40" w:lineRule="exact"/>
              <w:ind w:firstLine="21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15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资金使用合规性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规范使用资金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预决算信息公开性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依法依规公开相关信息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一般性支出压减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一般性支出压减10%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效益指标（30分）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地质主业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发展态势良好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确保民生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保持队伍稳定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环境保护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效果较好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持续发展主业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发展态势良好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服务基层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效果较好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99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hint="eastAsia"/>
        </w:rPr>
      </w:pPr>
      <w:r>
        <w:rPr>
          <w:rFonts w:hint="eastAsia"/>
        </w:rPr>
        <w:t>填表人：        填报日期：          联系电话：            单位负责人签字：</w:t>
      </w:r>
    </w:p>
    <w:p/>
    <w:sectPr>
      <w:pgSz w:w="11906" w:h="16838"/>
      <w:pgMar w:top="1134" w:right="1531" w:bottom="56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14F5"/>
    <w:rsid w:val="01D914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2020-06-28T01:30:00Z</dcterms:created>
  <dc:creator>相恋在雪峰</dc:creator>
  <cp:lastModifiedBy>相恋在雪峰</cp:lastModifiedBy>
  <dcterms:modified xsi:type="dcterms:W3CDTF">2020-06-28T01:30:56Z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