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rPr>
        <w:t>湖南省核工业地质局探矿技术研究所部门决算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spacing w:line="500" w:lineRule="exact"/>
        <w:jc w:val="both"/>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第一部分:湖南省核工业地质局探矿技术研究所单位概况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rPr>
          <w:sz w:val="84"/>
          <w:szCs w:val="84"/>
        </w:rPr>
      </w:pPr>
      <w:r>
        <w:rPr>
          <w:rFonts w:hint="eastAsia"/>
          <w:sz w:val="84"/>
          <w:szCs w:val="84"/>
        </w:rPr>
        <w:t>湖南省核工业地质局探矿技术研究所单位概况</w:t>
      </w:r>
    </w:p>
    <w:p>
      <w:pPr>
        <w:jc w:val="center"/>
        <w:rPr>
          <w:sz w:val="72"/>
          <w:szCs w:val="72"/>
        </w:rPr>
      </w:pPr>
    </w:p>
    <w:p>
      <w:pPr>
        <w:jc w:val="center"/>
        <w:rPr>
          <w:sz w:val="72"/>
          <w:szCs w:val="72"/>
        </w:rPr>
      </w:pPr>
    </w:p>
    <w:p>
      <w:pPr>
        <w:pStyle w:val="11"/>
        <w:ind w:firstLine="0" w:firstLineChars="0"/>
        <w:jc w:val="left"/>
        <w:rPr>
          <w:rFonts w:ascii="黑体" w:hAnsi="黑体" w:eastAsia="黑体"/>
          <w:sz w:val="32"/>
          <w:szCs w:val="32"/>
        </w:rPr>
      </w:pPr>
    </w:p>
    <w:p>
      <w:pPr>
        <w:pStyle w:val="11"/>
        <w:ind w:firstLine="0" w:firstLineChars="0"/>
        <w:jc w:val="left"/>
        <w:rPr>
          <w:rFonts w:ascii="黑体" w:hAnsi="黑体" w:eastAsia="黑体"/>
          <w:sz w:val="32"/>
          <w:szCs w:val="32"/>
        </w:rPr>
      </w:pPr>
    </w:p>
    <w:p>
      <w:pPr>
        <w:pStyle w:val="11"/>
        <w:ind w:firstLine="0" w:firstLineChars="0"/>
        <w:jc w:val="left"/>
        <w:rPr>
          <w:rFonts w:ascii="黑体" w:hAnsi="黑体" w:eastAsia="黑体"/>
          <w:sz w:val="32"/>
          <w:szCs w:val="32"/>
        </w:rPr>
      </w:pPr>
    </w:p>
    <w:p>
      <w:pPr>
        <w:pStyle w:val="11"/>
        <w:ind w:firstLine="0" w:firstLineChars="0"/>
        <w:jc w:val="left"/>
        <w:rPr>
          <w:rFonts w:ascii="黑体" w:hAnsi="黑体" w:eastAsia="黑体"/>
          <w:sz w:val="32"/>
          <w:szCs w:val="32"/>
        </w:rPr>
      </w:pPr>
    </w:p>
    <w:p>
      <w:pPr>
        <w:pStyle w:val="11"/>
        <w:ind w:firstLine="0" w:firstLineChars="0"/>
        <w:jc w:val="left"/>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部门职责</w:t>
      </w:r>
    </w:p>
    <w:p>
      <w:pPr>
        <w:ind w:firstLine="640" w:firstLineChars="200"/>
        <w:jc w:val="left"/>
        <w:rPr>
          <w:rFonts w:ascii="黑体" w:hAnsi="黑体" w:eastAsia="黑体"/>
          <w:color w:val="FF0000"/>
          <w:sz w:val="32"/>
          <w:szCs w:val="32"/>
        </w:rPr>
      </w:pPr>
      <w:r>
        <w:rPr>
          <w:rFonts w:hint="eastAsia" w:asciiTheme="minorEastAsia" w:hAnsiTheme="minorEastAsia"/>
          <w:bCs/>
          <w:color w:val="auto"/>
          <w:kern w:val="0"/>
          <w:sz w:val="32"/>
          <w:szCs w:val="32"/>
        </w:rPr>
        <w:t>湖南省核工业地质局探矿技术研究所为湖南省地质院所属二级预算单位，单位性质为财政补助事业单位。主要工作职责为：</w:t>
      </w:r>
    </w:p>
    <w:p>
      <w:pPr>
        <w:numPr>
          <w:ilvl w:val="0"/>
          <w:numId w:val="1"/>
        </w:numPr>
        <w:ind w:firstLine="640" w:firstLineChars="200"/>
        <w:jc w:val="left"/>
        <w:rPr>
          <w:rFonts w:asciiTheme="minorEastAsia" w:hAnsiTheme="minorEastAsia"/>
          <w:sz w:val="32"/>
          <w:szCs w:val="32"/>
        </w:rPr>
      </w:pPr>
      <w:r>
        <w:rPr>
          <w:rFonts w:hint="eastAsia" w:asciiTheme="minorEastAsia" w:hAnsiTheme="minorEastAsia"/>
          <w:sz w:val="32"/>
          <w:szCs w:val="32"/>
        </w:rPr>
        <w:t>贯彻执行放射性矿产探矿规划和年度计划组织实施</w:t>
      </w:r>
    </w:p>
    <w:p>
      <w:pPr>
        <w:ind w:firstLine="640" w:firstLineChars="200"/>
        <w:jc w:val="left"/>
        <w:rPr>
          <w:rFonts w:asciiTheme="minorEastAsia" w:hAnsiTheme="minorEastAsia"/>
          <w:sz w:val="32"/>
          <w:szCs w:val="32"/>
        </w:rPr>
      </w:pPr>
      <w:r>
        <w:rPr>
          <w:rFonts w:hint="eastAsia" w:asciiTheme="minorEastAsia" w:hAnsiTheme="minorEastAsia"/>
          <w:sz w:val="32"/>
          <w:szCs w:val="32"/>
        </w:rPr>
        <w:t>（二）指导局属各地勘单位解决技术难题，提供技术服务。</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（一）内设机构设置。湖南省核工业地质局探矿技术研究所单位内设机构包括5个职能部门：办公室、人力资源部、财务部、经营部和安监部。</w:t>
      </w:r>
    </w:p>
    <w:p>
      <w:pPr>
        <w:widowControl/>
        <w:spacing w:line="600" w:lineRule="exact"/>
        <w:ind w:firstLine="640" w:firstLineChars="200"/>
        <w:rPr>
          <w:rFonts w:asciiTheme="minorEastAsia" w:hAnsiTheme="minorEastAsia"/>
          <w:bCs/>
          <w:color w:val="auto"/>
          <w:kern w:val="0"/>
          <w:sz w:val="32"/>
          <w:szCs w:val="32"/>
        </w:rPr>
      </w:pPr>
      <w:r>
        <w:rPr>
          <w:rFonts w:hint="eastAsia" w:asciiTheme="minorEastAsia" w:hAnsiTheme="minorEastAsia"/>
          <w:bCs/>
          <w:kern w:val="0"/>
          <w:sz w:val="32"/>
          <w:szCs w:val="32"/>
        </w:rPr>
        <w:t>（二）决算单位构成。</w:t>
      </w:r>
      <w:r>
        <w:rPr>
          <w:rFonts w:asciiTheme="minorEastAsia" w:hAnsiTheme="minorEastAsia"/>
          <w:bCs/>
          <w:color w:val="auto"/>
          <w:kern w:val="0"/>
          <w:sz w:val="32"/>
          <w:szCs w:val="32"/>
        </w:rPr>
        <w:t>20</w:t>
      </w:r>
      <w:r>
        <w:rPr>
          <w:rFonts w:hint="eastAsia" w:asciiTheme="minorEastAsia" w:hAnsiTheme="minorEastAsia"/>
          <w:bCs/>
          <w:color w:val="auto"/>
          <w:kern w:val="0"/>
          <w:sz w:val="32"/>
          <w:szCs w:val="32"/>
        </w:rPr>
        <w:t>20年部门决算汇总公开单位构成包括：湖南省核工业地质局探矿技术研究所本级。</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r>
        <w:rPr>
          <w:rFonts w:hint="eastAsia" w:ascii="黑体" w:eastAsia="黑体" w:cs="黑体"/>
          <w:color w:val="000000"/>
          <w:kern w:val="0"/>
          <w:sz w:val="84"/>
          <w:szCs w:val="84"/>
        </w:rPr>
        <w:t>第二部分</w:t>
      </w: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r>
        <w:rPr>
          <w:rFonts w:hint="eastAsia" w:ascii="黑体" w:eastAsia="黑体" w:cs="黑体"/>
          <w:color w:val="000000"/>
          <w:kern w:val="0"/>
          <w:sz w:val="84"/>
          <w:szCs w:val="84"/>
        </w:rPr>
        <w:t>部门决算表</w:t>
      </w:r>
    </w:p>
    <w:p>
      <w:pPr>
        <w:jc w:val="left"/>
        <w:rPr>
          <w:rFonts w:ascii="黑体" w:eastAsia="黑体" w:cs="黑体"/>
          <w:color w:val="000000"/>
          <w:kern w:val="0"/>
          <w:sz w:val="84"/>
          <w:szCs w:val="84"/>
        </w:rPr>
        <w:sectPr>
          <w:pgSz w:w="11906" w:h="16838"/>
          <w:pgMar w:top="873" w:right="1080" w:bottom="873" w:left="1080" w:header="851" w:footer="992" w:gutter="0"/>
          <w:cols w:space="425"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5204"/>
        <w:gridCol w:w="697"/>
        <w:gridCol w:w="236"/>
        <w:gridCol w:w="5771"/>
        <w:gridCol w:w="657"/>
        <w:gridCol w:w="1516"/>
      </w:tblGrid>
      <w:tr>
        <w:tblPrEx>
          <w:tblCellMar>
            <w:top w:w="0" w:type="dxa"/>
            <w:left w:w="108" w:type="dxa"/>
            <w:bottom w:w="0" w:type="dxa"/>
            <w:right w:w="108" w:type="dxa"/>
          </w:tblCellMar>
        </w:tblPrEx>
        <w:trPr>
          <w:trHeight w:val="360" w:hRule="atLeast"/>
        </w:trPr>
        <w:tc>
          <w:tcPr>
            <w:tcW w:w="14081" w:type="dxa"/>
            <w:gridSpan w:val="6"/>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b/>
                <w:bCs/>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tcBorders>
              <w:top w:val="nil"/>
              <w:left w:val="nil"/>
              <w:bottom w:val="nil"/>
              <w:right w:val="nil"/>
            </w:tcBorders>
            <w:shd w:val="clear" w:color="000000" w:fill="FFFFFF"/>
            <w:noWrap/>
            <w:vAlign w:val="center"/>
          </w:tcPr>
          <w:p>
            <w:pPr>
              <w:widowControl/>
              <w:jc w:val="right"/>
              <w:rPr>
                <w:rFonts w:ascii="仿宋" w:hAnsi="仿宋" w:eastAsia="仿宋" w:cs="仿宋"/>
                <w:kern w:val="0"/>
                <w:szCs w:val="21"/>
              </w:rPr>
            </w:pPr>
            <w:r>
              <w:rPr>
                <w:rFonts w:hint="eastAsia" w:ascii="仿宋" w:hAnsi="仿宋" w:eastAsia="仿宋" w:cs="仿宋"/>
                <w:kern w:val="0"/>
                <w:szCs w:val="21"/>
              </w:rPr>
              <w:t>　</w:t>
            </w:r>
          </w:p>
        </w:tc>
        <w:tc>
          <w:tcPr>
            <w:tcW w:w="697" w:type="dxa"/>
            <w:tcBorders>
              <w:top w:val="nil"/>
              <w:left w:val="nil"/>
              <w:bottom w:val="nil"/>
              <w:right w:val="nil"/>
            </w:tcBorders>
            <w:shd w:val="clear" w:color="000000" w:fill="FFFFFF"/>
            <w:noWrap/>
            <w:vAlign w:val="center"/>
          </w:tcPr>
          <w:p>
            <w:pPr>
              <w:widowControl/>
              <w:jc w:val="right"/>
              <w:rPr>
                <w:rFonts w:ascii="仿宋" w:hAnsi="仿宋" w:eastAsia="仿宋" w:cs="仿宋"/>
                <w:kern w:val="0"/>
                <w:szCs w:val="21"/>
              </w:rPr>
            </w:pPr>
            <w:r>
              <w:rPr>
                <w:rFonts w:hint="eastAsia" w:ascii="仿宋" w:hAnsi="仿宋" w:eastAsia="仿宋" w:cs="仿宋"/>
                <w:kern w:val="0"/>
                <w:szCs w:val="21"/>
              </w:rPr>
              <w:t>　</w:t>
            </w:r>
          </w:p>
        </w:tc>
        <w:tc>
          <w:tcPr>
            <w:tcW w:w="232" w:type="dxa"/>
            <w:tcBorders>
              <w:top w:val="nil"/>
              <w:left w:val="nil"/>
              <w:bottom w:val="nil"/>
              <w:right w:val="nil"/>
            </w:tcBorders>
            <w:shd w:val="clear" w:color="000000" w:fill="FFFFFF"/>
            <w:noWrap/>
            <w:vAlign w:val="center"/>
          </w:tcPr>
          <w:p>
            <w:pPr>
              <w:widowControl/>
              <w:jc w:val="right"/>
              <w:rPr>
                <w:rFonts w:ascii="仿宋" w:hAnsi="仿宋" w:eastAsia="仿宋" w:cs="仿宋"/>
                <w:kern w:val="0"/>
                <w:szCs w:val="21"/>
              </w:rPr>
            </w:pPr>
            <w:r>
              <w:rPr>
                <w:rFonts w:hint="eastAsia" w:ascii="仿宋" w:hAnsi="仿宋" w:eastAsia="仿宋" w:cs="仿宋"/>
                <w:kern w:val="0"/>
                <w:szCs w:val="21"/>
              </w:rPr>
              <w:t>　</w:t>
            </w:r>
          </w:p>
        </w:tc>
        <w:tc>
          <w:tcPr>
            <w:tcW w:w="5773" w:type="dxa"/>
            <w:tcBorders>
              <w:top w:val="nil"/>
              <w:left w:val="nil"/>
              <w:bottom w:val="nil"/>
              <w:right w:val="nil"/>
            </w:tcBorders>
            <w:shd w:val="clear" w:color="000000" w:fill="FFFFFF"/>
            <w:noWrap/>
            <w:vAlign w:val="center"/>
          </w:tcPr>
          <w:p>
            <w:pPr>
              <w:widowControl/>
              <w:jc w:val="right"/>
              <w:rPr>
                <w:rFonts w:ascii="仿宋" w:hAnsi="仿宋" w:eastAsia="仿宋" w:cs="仿宋"/>
                <w:kern w:val="0"/>
                <w:szCs w:val="21"/>
              </w:rPr>
            </w:pPr>
            <w:r>
              <w:rPr>
                <w:rFonts w:hint="eastAsia" w:ascii="仿宋" w:hAnsi="仿宋" w:eastAsia="仿宋" w:cs="仿宋"/>
                <w:kern w:val="0"/>
                <w:szCs w:val="21"/>
              </w:rPr>
              <w:t>　</w:t>
            </w:r>
          </w:p>
        </w:tc>
        <w:tc>
          <w:tcPr>
            <w:tcW w:w="657" w:type="dxa"/>
            <w:tcBorders>
              <w:top w:val="nil"/>
              <w:left w:val="nil"/>
              <w:bottom w:val="nil"/>
              <w:right w:val="nil"/>
            </w:tcBorders>
            <w:shd w:val="clear" w:color="000000" w:fill="FFFFFF"/>
            <w:noWrap/>
            <w:vAlign w:val="center"/>
          </w:tcPr>
          <w:p>
            <w:pPr>
              <w:widowControl/>
              <w:jc w:val="right"/>
              <w:rPr>
                <w:rFonts w:ascii="仿宋" w:hAnsi="仿宋" w:eastAsia="仿宋" w:cs="仿宋"/>
                <w:kern w:val="0"/>
                <w:szCs w:val="21"/>
              </w:rPr>
            </w:pPr>
            <w:r>
              <w:rPr>
                <w:rFonts w:hint="eastAsia" w:ascii="仿宋" w:hAnsi="仿宋" w:eastAsia="仿宋" w:cs="仿宋"/>
                <w:kern w:val="0"/>
                <w:szCs w:val="21"/>
              </w:rPr>
              <w:t>　</w:t>
            </w:r>
          </w:p>
        </w:tc>
        <w:tc>
          <w:tcPr>
            <w:tcW w:w="1516" w:type="dxa"/>
            <w:tcBorders>
              <w:top w:val="nil"/>
              <w:left w:val="nil"/>
              <w:bottom w:val="nil"/>
              <w:right w:val="nil"/>
            </w:tcBorders>
            <w:shd w:val="clear" w:color="000000" w:fill="FFFFFF"/>
            <w:noWrap/>
            <w:vAlign w:val="center"/>
          </w:tcPr>
          <w:p>
            <w:pPr>
              <w:widowControl/>
              <w:jc w:val="right"/>
              <w:rPr>
                <w:rFonts w:ascii="仿宋" w:hAnsi="仿宋" w:eastAsia="仿宋" w:cs="仿宋"/>
                <w:color w:val="000000"/>
                <w:kern w:val="0"/>
                <w:szCs w:val="21"/>
              </w:rPr>
            </w:pPr>
            <w:r>
              <w:rPr>
                <w:rFonts w:hint="eastAsia" w:ascii="仿宋" w:hAnsi="仿宋" w:eastAsia="仿宋" w:cs="仿宋"/>
                <w:color w:val="000000"/>
                <w:kern w:val="0"/>
                <w:szCs w:val="21"/>
              </w:rPr>
              <w:t>公开01表</w:t>
            </w:r>
          </w:p>
        </w:tc>
      </w:tr>
      <w:tr>
        <w:tblPrEx>
          <w:tblCellMar>
            <w:top w:w="0" w:type="dxa"/>
            <w:left w:w="108" w:type="dxa"/>
            <w:bottom w:w="0" w:type="dxa"/>
            <w:right w:w="108" w:type="dxa"/>
          </w:tblCellMar>
        </w:tblPrEx>
        <w:trPr>
          <w:trHeight w:val="300" w:hRule="atLeast"/>
        </w:trPr>
        <w:tc>
          <w:tcPr>
            <w:tcW w:w="5206" w:type="dxa"/>
            <w:tcBorders>
              <w:top w:val="nil"/>
              <w:left w:val="nil"/>
              <w:bottom w:val="nil"/>
              <w:right w:val="nil"/>
            </w:tcBorders>
            <w:shd w:val="clear" w:color="000000" w:fill="FFFFFF"/>
            <w:noWrap/>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部门：湖南省核工业地质局探矿技术研究所</w:t>
            </w:r>
          </w:p>
        </w:tc>
        <w:tc>
          <w:tcPr>
            <w:tcW w:w="697" w:type="dxa"/>
            <w:tcBorders>
              <w:top w:val="nil"/>
              <w:left w:val="nil"/>
              <w:bottom w:val="nil"/>
              <w:right w:val="nil"/>
            </w:tcBorders>
            <w:shd w:val="clear" w:color="000000" w:fill="FFFFFF"/>
            <w:noWrap/>
            <w:vAlign w:val="center"/>
          </w:tcPr>
          <w:p>
            <w:pPr>
              <w:widowControl/>
              <w:jc w:val="right"/>
              <w:rPr>
                <w:rFonts w:ascii="仿宋" w:hAnsi="仿宋" w:eastAsia="仿宋" w:cs="仿宋"/>
                <w:kern w:val="0"/>
                <w:szCs w:val="21"/>
              </w:rPr>
            </w:pPr>
            <w:r>
              <w:rPr>
                <w:rFonts w:hint="eastAsia" w:ascii="仿宋" w:hAnsi="仿宋" w:eastAsia="仿宋" w:cs="仿宋"/>
                <w:kern w:val="0"/>
                <w:szCs w:val="21"/>
              </w:rPr>
              <w:t>　</w:t>
            </w:r>
          </w:p>
        </w:tc>
        <w:tc>
          <w:tcPr>
            <w:tcW w:w="232" w:type="dxa"/>
            <w:tcBorders>
              <w:top w:val="nil"/>
              <w:left w:val="nil"/>
              <w:bottom w:val="nil"/>
              <w:right w:val="nil"/>
            </w:tcBorders>
            <w:shd w:val="clear" w:color="000000" w:fill="FFFFFF"/>
            <w:noWrap/>
            <w:vAlign w:val="center"/>
          </w:tcPr>
          <w:p>
            <w:pPr>
              <w:widowControl/>
              <w:jc w:val="right"/>
              <w:rPr>
                <w:rFonts w:ascii="仿宋" w:hAnsi="仿宋" w:eastAsia="仿宋" w:cs="仿宋"/>
                <w:kern w:val="0"/>
                <w:szCs w:val="21"/>
              </w:rPr>
            </w:pPr>
            <w:r>
              <w:rPr>
                <w:rFonts w:hint="eastAsia" w:ascii="仿宋" w:hAnsi="仿宋" w:eastAsia="仿宋" w:cs="仿宋"/>
                <w:kern w:val="0"/>
                <w:szCs w:val="21"/>
              </w:rPr>
              <w:t>　</w:t>
            </w:r>
          </w:p>
        </w:tc>
        <w:tc>
          <w:tcPr>
            <w:tcW w:w="5773" w:type="dxa"/>
            <w:tcBorders>
              <w:top w:val="nil"/>
              <w:left w:val="nil"/>
              <w:bottom w:val="nil"/>
              <w:right w:val="nil"/>
            </w:tcBorders>
            <w:shd w:val="clear" w:color="000000" w:fill="FFFFFF"/>
            <w:noWrap/>
            <w:vAlign w:val="center"/>
          </w:tcPr>
          <w:p>
            <w:pPr>
              <w:widowControl/>
              <w:jc w:val="right"/>
              <w:rPr>
                <w:rFonts w:ascii="仿宋" w:hAnsi="仿宋" w:eastAsia="仿宋" w:cs="仿宋"/>
                <w:kern w:val="0"/>
                <w:szCs w:val="21"/>
              </w:rPr>
            </w:pPr>
            <w:r>
              <w:rPr>
                <w:rFonts w:hint="eastAsia" w:ascii="仿宋" w:hAnsi="仿宋" w:eastAsia="仿宋" w:cs="仿宋"/>
                <w:kern w:val="0"/>
                <w:szCs w:val="21"/>
              </w:rPr>
              <w:t>　</w:t>
            </w:r>
          </w:p>
        </w:tc>
        <w:tc>
          <w:tcPr>
            <w:tcW w:w="657" w:type="dxa"/>
            <w:tcBorders>
              <w:top w:val="nil"/>
              <w:left w:val="nil"/>
              <w:bottom w:val="nil"/>
              <w:right w:val="nil"/>
            </w:tcBorders>
            <w:shd w:val="clear" w:color="000000" w:fill="FFFFFF"/>
            <w:noWrap/>
            <w:vAlign w:val="center"/>
          </w:tcPr>
          <w:p>
            <w:pPr>
              <w:widowControl/>
              <w:jc w:val="right"/>
              <w:rPr>
                <w:rFonts w:ascii="仿宋" w:hAnsi="仿宋" w:eastAsia="仿宋" w:cs="仿宋"/>
                <w:kern w:val="0"/>
                <w:szCs w:val="21"/>
              </w:rPr>
            </w:pPr>
            <w:r>
              <w:rPr>
                <w:rFonts w:hint="eastAsia" w:ascii="仿宋" w:hAnsi="仿宋" w:eastAsia="仿宋" w:cs="仿宋"/>
                <w:kern w:val="0"/>
                <w:szCs w:val="21"/>
              </w:rPr>
              <w:t>　</w:t>
            </w:r>
          </w:p>
        </w:tc>
        <w:tc>
          <w:tcPr>
            <w:tcW w:w="1516" w:type="dxa"/>
            <w:tcBorders>
              <w:top w:val="nil"/>
              <w:left w:val="nil"/>
              <w:bottom w:val="nil"/>
              <w:right w:val="nil"/>
            </w:tcBorders>
            <w:shd w:val="clear" w:color="000000" w:fill="FFFFFF"/>
            <w:noWrap/>
            <w:vAlign w:val="center"/>
          </w:tcPr>
          <w:p>
            <w:pPr>
              <w:widowControl/>
              <w:jc w:val="right"/>
              <w:rPr>
                <w:rFonts w:ascii="仿宋" w:hAnsi="仿宋" w:eastAsia="仿宋" w:cs="仿宋"/>
                <w:color w:val="000000"/>
                <w:kern w:val="0"/>
                <w:szCs w:val="21"/>
              </w:rPr>
            </w:pPr>
            <w:r>
              <w:rPr>
                <w:rFonts w:hint="eastAsia" w:ascii="仿宋" w:hAnsi="仿宋" w:eastAsia="仿宋" w:cs="仿宋"/>
                <w:color w:val="000000"/>
                <w:kern w:val="0"/>
                <w:szCs w:val="21"/>
              </w:rPr>
              <w:t>单位：万元</w:t>
            </w:r>
          </w:p>
        </w:tc>
      </w:tr>
      <w:tr>
        <w:tblPrEx>
          <w:tblCellMar>
            <w:top w:w="0" w:type="dxa"/>
            <w:left w:w="108" w:type="dxa"/>
            <w:bottom w:w="0" w:type="dxa"/>
            <w:right w:w="108" w:type="dxa"/>
          </w:tblCellMar>
        </w:tblPrEx>
        <w:trPr>
          <w:trHeight w:val="1020" w:hRule="atLeast"/>
        </w:trPr>
        <w:tc>
          <w:tcPr>
            <w:tcW w:w="14081" w:type="dxa"/>
            <w:gridSpan w:val="6"/>
            <w:tcBorders>
              <w:top w:val="nil"/>
              <w:left w:val="nil"/>
              <w:bottom w:val="nil"/>
              <w:right w:val="nil"/>
            </w:tcBorders>
            <w:shd w:val="clear" w:color="auto" w:fill="auto"/>
            <w:vAlign w:val="center"/>
          </w:tcPr>
          <w:tbl>
            <w:tblPr>
              <w:tblStyle w:val="5"/>
              <w:tblW w:w="14085" w:type="dxa"/>
              <w:tblInd w:w="0" w:type="dxa"/>
              <w:tblLayout w:type="fixed"/>
              <w:tblCellMar>
                <w:top w:w="0" w:type="dxa"/>
                <w:left w:w="108" w:type="dxa"/>
                <w:bottom w:w="0" w:type="dxa"/>
                <w:right w:w="108" w:type="dxa"/>
              </w:tblCellMar>
            </w:tblPr>
            <w:tblGrid>
              <w:gridCol w:w="5171"/>
              <w:gridCol w:w="694"/>
              <w:gridCol w:w="1007"/>
              <w:gridCol w:w="4992"/>
              <w:gridCol w:w="728"/>
              <w:gridCol w:w="1493"/>
            </w:tblGrid>
            <w:tr>
              <w:tblPrEx>
                <w:tblCellMar>
                  <w:top w:w="0" w:type="dxa"/>
                  <w:left w:w="108" w:type="dxa"/>
                  <w:bottom w:w="0" w:type="dxa"/>
                  <w:right w:w="108" w:type="dxa"/>
                </w:tblCellMar>
              </w:tblPrEx>
              <w:trPr>
                <w:trHeight w:val="300" w:hRule="atLeast"/>
              </w:trPr>
              <w:tc>
                <w:tcPr>
                  <w:tcW w:w="6872" w:type="dxa"/>
                  <w:gridSpan w:val="3"/>
                  <w:tcBorders>
                    <w:top w:val="single" w:color="auto" w:sz="4" w:space="0"/>
                    <w:left w:val="single" w:color="000000"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7213" w:type="dxa"/>
                  <w:gridSpan w:val="3"/>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007"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493"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007"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493"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392.44</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43.17</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70.40</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218.77</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81.50</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392.44</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413.84</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-31.00</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-52.40</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171"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694"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0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361.44</w:t>
                  </w:r>
                </w:p>
              </w:tc>
              <w:tc>
                <w:tcPr>
                  <w:tcW w:w="4992"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728" w:type="dxa"/>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1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361.44</w:t>
                  </w:r>
                </w:p>
              </w:tc>
            </w:tr>
          </w:tbl>
          <w:p>
            <w:pPr>
              <w:widowControl/>
              <w:jc w:val="left"/>
              <w:rPr>
                <w:rFonts w:ascii="宋体" w:hAnsi="宋体" w:eastAsia="宋体" w:cs="宋体"/>
                <w:kern w:val="0"/>
                <w:sz w:val="24"/>
                <w:szCs w:val="24"/>
              </w:rPr>
            </w:pP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890" w:right="1440" w:bottom="890" w:left="1440" w:header="851" w:footer="992" w:gutter="0"/>
          <w:cols w:space="425" w:num="1"/>
          <w:docGrid w:type="linesAndChars" w:linePitch="312" w:charSpace="0"/>
        </w:sectPr>
      </w:pPr>
    </w:p>
    <w:tbl>
      <w:tblPr>
        <w:tblStyle w:val="5"/>
        <w:tblW w:w="15432" w:type="dxa"/>
        <w:tblInd w:w="-4" w:type="dxa"/>
        <w:tblLayout w:type="autofit"/>
        <w:tblCellMar>
          <w:top w:w="0" w:type="dxa"/>
          <w:left w:w="0" w:type="dxa"/>
          <w:bottom w:w="0" w:type="dxa"/>
          <w:right w:w="0" w:type="dxa"/>
        </w:tblCellMar>
      </w:tblPr>
      <w:tblGrid>
        <w:gridCol w:w="2925"/>
        <w:gridCol w:w="2480"/>
        <w:gridCol w:w="1335"/>
        <w:gridCol w:w="1374"/>
        <w:gridCol w:w="1433"/>
        <w:gridCol w:w="1277"/>
        <w:gridCol w:w="1413"/>
        <w:gridCol w:w="1316"/>
        <w:gridCol w:w="1823"/>
        <w:gridCol w:w="56"/>
      </w:tblGrid>
      <w:tr>
        <w:tblPrEx>
          <w:tblCellMar>
            <w:top w:w="0" w:type="dxa"/>
            <w:left w:w="0" w:type="dxa"/>
            <w:bottom w:w="0" w:type="dxa"/>
            <w:right w:w="0" w:type="dxa"/>
          </w:tblCellMar>
        </w:tblPrEx>
        <w:trPr>
          <w:trHeight w:val="435" w:hRule="atLeast"/>
        </w:trPr>
        <w:tc>
          <w:tcPr>
            <w:tcW w:w="15432"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b/>
                <w:bCs/>
                <w:color w:val="000000"/>
                <w:sz w:val="32"/>
                <w:szCs w:val="32"/>
              </w:rPr>
              <w:t>收入决算表</w:t>
            </w:r>
          </w:p>
        </w:tc>
      </w:tr>
      <w:tr>
        <w:tblPrEx>
          <w:tblCellMar>
            <w:top w:w="0" w:type="dxa"/>
            <w:left w:w="0" w:type="dxa"/>
            <w:bottom w:w="0" w:type="dxa"/>
            <w:right w:w="0" w:type="dxa"/>
          </w:tblCellMar>
        </w:tblPrEx>
        <w:trPr>
          <w:trHeight w:val="90" w:hRule="atLeast"/>
        </w:trPr>
        <w:tc>
          <w:tcPr>
            <w:tcW w:w="15432"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right"/>
              <w:rPr>
                <w:rFonts w:ascii="仿宋" w:hAnsi="仿宋" w:eastAsia="仿宋" w:cs="仿宋"/>
                <w:color w:val="000000"/>
                <w:szCs w:val="21"/>
              </w:rPr>
            </w:pPr>
            <w:r>
              <w:rPr>
                <w:rFonts w:hint="eastAsia" w:ascii="仿宋" w:hAnsi="仿宋" w:eastAsia="仿宋" w:cs="仿宋"/>
                <w:color w:val="000000"/>
                <w:szCs w:val="21"/>
              </w:rPr>
              <w:t>公开02表</w:t>
            </w:r>
          </w:p>
        </w:tc>
      </w:tr>
      <w:tr>
        <w:tblPrEx>
          <w:tblCellMar>
            <w:top w:w="0" w:type="dxa"/>
            <w:left w:w="0" w:type="dxa"/>
            <w:bottom w:w="0" w:type="dxa"/>
            <w:right w:w="0" w:type="dxa"/>
          </w:tblCellMar>
        </w:tblPrEx>
        <w:trPr>
          <w:trHeight w:val="435" w:hRule="atLeast"/>
        </w:trPr>
        <w:tc>
          <w:tcPr>
            <w:tcW w:w="15432"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部门：湖南省核工业地质局探技术研究所                                                                                                    单位：万元</w:t>
            </w:r>
          </w:p>
        </w:tc>
      </w:tr>
      <w:tr>
        <w:tblPrEx>
          <w:tblCellMar>
            <w:top w:w="0" w:type="dxa"/>
            <w:left w:w="108" w:type="dxa"/>
            <w:bottom w:w="0" w:type="dxa"/>
            <w:right w:w="108" w:type="dxa"/>
          </w:tblCellMar>
        </w:tblPrEx>
        <w:trPr>
          <w:gridAfter w:val="1"/>
          <w:wAfter w:w="56" w:type="dxa"/>
          <w:trHeight w:val="300" w:hRule="atLeast"/>
        </w:trPr>
        <w:tc>
          <w:tcPr>
            <w:tcW w:w="5405" w:type="dxa"/>
            <w:gridSpan w:val="2"/>
            <w:tcBorders>
              <w:top w:val="single" w:color="auto" w:sz="4" w:space="0"/>
              <w:left w:val="single" w:color="auto" w:sz="4" w:space="0"/>
              <w:bottom w:val="single" w:color="auto" w:sz="4" w:space="0"/>
              <w:right w:val="single" w:color="auto" w:sz="4" w:space="0"/>
            </w:tcBorders>
            <w:shd w:val="clear" w:color="000000" w:fill="C0C0C0"/>
            <w:noWrap/>
            <w:vAlign w:val="center"/>
          </w:tcPr>
          <w:p>
            <w:pPr>
              <w:rPr>
                <w:rFonts w:ascii="宋体" w:hAnsi="宋体" w:eastAsia="宋体" w:cs="Arial"/>
                <w:sz w:val="20"/>
                <w:szCs w:val="20"/>
              </w:rPr>
            </w:pPr>
            <w:r>
              <w:rPr>
                <w:rFonts w:hint="eastAsia" w:cs="Arial"/>
                <w:sz w:val="20"/>
                <w:szCs w:val="20"/>
              </w:rPr>
              <w:t>项目</w:t>
            </w:r>
          </w:p>
        </w:tc>
        <w:tc>
          <w:tcPr>
            <w:tcW w:w="1335" w:type="dxa"/>
            <w:vMerge w:val="restart"/>
            <w:tcBorders>
              <w:top w:val="single" w:color="auto" w:sz="4" w:space="0"/>
              <w:left w:val="single" w:color="auto" w:sz="4" w:space="0"/>
              <w:bottom w:val="single" w:color="auto" w:sz="4" w:space="0"/>
              <w:right w:val="single" w:color="auto"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本年收入合计</w:t>
            </w:r>
          </w:p>
        </w:tc>
        <w:tc>
          <w:tcPr>
            <w:tcW w:w="1374" w:type="dxa"/>
            <w:vMerge w:val="restart"/>
            <w:tcBorders>
              <w:top w:val="single" w:color="auto" w:sz="4" w:space="0"/>
              <w:left w:val="single" w:color="auto" w:sz="4" w:space="0"/>
              <w:bottom w:val="single" w:color="auto" w:sz="4" w:space="0"/>
              <w:right w:val="single" w:color="auto"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财政拨款收入</w:t>
            </w:r>
          </w:p>
        </w:tc>
        <w:tc>
          <w:tcPr>
            <w:tcW w:w="1433" w:type="dxa"/>
            <w:vMerge w:val="restart"/>
            <w:tcBorders>
              <w:top w:val="single" w:color="auto" w:sz="4" w:space="0"/>
              <w:left w:val="single" w:color="auto" w:sz="4" w:space="0"/>
              <w:bottom w:val="single" w:color="auto" w:sz="4" w:space="0"/>
              <w:right w:val="single" w:color="auto"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上级补助收入</w:t>
            </w:r>
          </w:p>
        </w:tc>
        <w:tc>
          <w:tcPr>
            <w:tcW w:w="1277" w:type="dxa"/>
            <w:vMerge w:val="restart"/>
            <w:tcBorders>
              <w:top w:val="single" w:color="auto" w:sz="4" w:space="0"/>
              <w:left w:val="single" w:color="auto" w:sz="4" w:space="0"/>
              <w:bottom w:val="single" w:color="auto" w:sz="4" w:space="0"/>
              <w:right w:val="single" w:color="auto"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事业收入</w:t>
            </w:r>
          </w:p>
        </w:tc>
        <w:tc>
          <w:tcPr>
            <w:tcW w:w="1413" w:type="dxa"/>
            <w:vMerge w:val="restart"/>
            <w:tcBorders>
              <w:top w:val="single" w:color="auto" w:sz="4" w:space="0"/>
              <w:left w:val="single" w:color="auto" w:sz="4" w:space="0"/>
              <w:bottom w:val="single" w:color="auto" w:sz="4" w:space="0"/>
              <w:right w:val="single" w:color="auto"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经营收入</w:t>
            </w:r>
          </w:p>
        </w:tc>
        <w:tc>
          <w:tcPr>
            <w:tcW w:w="1316" w:type="dxa"/>
            <w:vMerge w:val="restart"/>
            <w:tcBorders>
              <w:top w:val="single" w:color="auto" w:sz="4" w:space="0"/>
              <w:left w:val="single" w:color="auto" w:sz="4" w:space="0"/>
              <w:bottom w:val="single" w:color="auto" w:sz="4" w:space="0"/>
              <w:right w:val="single" w:color="auto"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附属单位上缴收入</w:t>
            </w:r>
          </w:p>
        </w:tc>
        <w:tc>
          <w:tcPr>
            <w:tcW w:w="1823" w:type="dxa"/>
            <w:vMerge w:val="restart"/>
            <w:tcBorders>
              <w:top w:val="single" w:color="auto" w:sz="4" w:space="0"/>
              <w:left w:val="single" w:color="auto" w:sz="4" w:space="0"/>
              <w:bottom w:val="single" w:color="auto" w:sz="4" w:space="0"/>
              <w:right w:val="single" w:color="auto"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其他收入</w:t>
            </w:r>
          </w:p>
        </w:tc>
      </w:tr>
      <w:tr>
        <w:tblPrEx>
          <w:tblCellMar>
            <w:top w:w="0" w:type="dxa"/>
            <w:left w:w="108" w:type="dxa"/>
            <w:bottom w:w="0" w:type="dxa"/>
            <w:right w:w="108" w:type="dxa"/>
          </w:tblCellMar>
        </w:tblPrEx>
        <w:trPr>
          <w:gridAfter w:val="1"/>
          <w:wAfter w:w="56" w:type="dxa"/>
          <w:trHeight w:val="312" w:hRule="atLeast"/>
        </w:trPr>
        <w:tc>
          <w:tcPr>
            <w:tcW w:w="2925" w:type="dxa"/>
            <w:vMerge w:val="restart"/>
            <w:tcBorders>
              <w:top w:val="single" w:color="auto" w:sz="4" w:space="0"/>
              <w:left w:val="single" w:color="000000" w:sz="4" w:space="0"/>
              <w:bottom w:val="single" w:color="auto"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功能分类科目编码</w:t>
            </w:r>
          </w:p>
        </w:tc>
        <w:tc>
          <w:tcPr>
            <w:tcW w:w="2480" w:type="dxa"/>
            <w:vMerge w:val="restart"/>
            <w:tcBorders>
              <w:top w:val="single" w:color="auto" w:sz="4" w:space="0"/>
              <w:left w:val="nil"/>
              <w:bottom w:val="single" w:color="auto"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科目名称</w:t>
            </w:r>
          </w:p>
        </w:tc>
        <w:tc>
          <w:tcPr>
            <w:tcW w:w="1335"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374"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433"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277"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413"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316"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823" w:type="dxa"/>
            <w:vMerge w:val="continue"/>
            <w:tcBorders>
              <w:top w:val="single" w:color="auto" w:sz="4" w:space="0"/>
              <w:left w:val="nil"/>
              <w:bottom w:val="single" w:color="auto" w:sz="4" w:space="0"/>
              <w:right w:val="single" w:color="auto"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gridAfter w:val="1"/>
          <w:wAfter w:w="56" w:type="dxa"/>
          <w:trHeight w:val="312" w:hRule="atLeast"/>
        </w:trPr>
        <w:tc>
          <w:tcPr>
            <w:tcW w:w="2925" w:type="dxa"/>
            <w:vMerge w:val="continue"/>
            <w:tcBorders>
              <w:top w:val="single" w:color="auto" w:sz="4" w:space="0"/>
              <w:left w:val="single" w:color="000000" w:sz="4" w:space="0"/>
              <w:bottom w:val="single" w:color="auto" w:sz="4" w:space="0"/>
              <w:right w:val="single" w:color="000000" w:sz="4" w:space="0"/>
            </w:tcBorders>
            <w:vAlign w:val="center"/>
          </w:tcPr>
          <w:p>
            <w:pPr>
              <w:rPr>
                <w:rFonts w:ascii="宋体" w:hAnsi="宋体" w:eastAsia="宋体" w:cs="Arial"/>
                <w:sz w:val="20"/>
                <w:szCs w:val="20"/>
              </w:rPr>
            </w:pPr>
          </w:p>
        </w:tc>
        <w:tc>
          <w:tcPr>
            <w:tcW w:w="2480"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335"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374"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433"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277"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413"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316"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823" w:type="dxa"/>
            <w:vMerge w:val="continue"/>
            <w:tcBorders>
              <w:top w:val="single" w:color="auto" w:sz="4" w:space="0"/>
              <w:left w:val="nil"/>
              <w:bottom w:val="single" w:color="auto" w:sz="4" w:space="0"/>
              <w:right w:val="single" w:color="auto"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gridAfter w:val="1"/>
          <w:wAfter w:w="56" w:type="dxa"/>
          <w:trHeight w:val="312" w:hRule="atLeast"/>
        </w:trPr>
        <w:tc>
          <w:tcPr>
            <w:tcW w:w="2925" w:type="dxa"/>
            <w:vMerge w:val="continue"/>
            <w:tcBorders>
              <w:top w:val="single" w:color="auto" w:sz="4" w:space="0"/>
              <w:left w:val="single" w:color="000000" w:sz="4" w:space="0"/>
              <w:bottom w:val="single" w:color="auto" w:sz="4" w:space="0"/>
              <w:right w:val="single" w:color="000000" w:sz="4" w:space="0"/>
            </w:tcBorders>
            <w:vAlign w:val="center"/>
          </w:tcPr>
          <w:p>
            <w:pPr>
              <w:rPr>
                <w:rFonts w:ascii="宋体" w:hAnsi="宋体" w:eastAsia="宋体" w:cs="Arial"/>
                <w:sz w:val="20"/>
                <w:szCs w:val="20"/>
              </w:rPr>
            </w:pPr>
          </w:p>
        </w:tc>
        <w:tc>
          <w:tcPr>
            <w:tcW w:w="2480"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335"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374"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433"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277"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413"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316" w:type="dxa"/>
            <w:vMerge w:val="continue"/>
            <w:tcBorders>
              <w:top w:val="single" w:color="auto" w:sz="4" w:space="0"/>
              <w:left w:val="nil"/>
              <w:bottom w:val="single" w:color="auto" w:sz="4" w:space="0"/>
              <w:right w:val="single" w:color="000000" w:sz="4" w:space="0"/>
            </w:tcBorders>
            <w:vAlign w:val="center"/>
          </w:tcPr>
          <w:p>
            <w:pPr>
              <w:rPr>
                <w:rFonts w:ascii="宋体" w:hAnsi="宋体" w:eastAsia="宋体" w:cs="Arial"/>
                <w:sz w:val="20"/>
                <w:szCs w:val="20"/>
              </w:rPr>
            </w:pPr>
          </w:p>
        </w:tc>
        <w:tc>
          <w:tcPr>
            <w:tcW w:w="1823" w:type="dxa"/>
            <w:vMerge w:val="continue"/>
            <w:tcBorders>
              <w:top w:val="single" w:color="auto" w:sz="4" w:space="0"/>
              <w:left w:val="nil"/>
              <w:bottom w:val="single" w:color="auto" w:sz="4" w:space="0"/>
              <w:right w:val="single" w:color="auto"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gridAfter w:val="1"/>
          <w:wAfter w:w="56" w:type="dxa"/>
          <w:trHeight w:val="300" w:hRule="atLeast"/>
        </w:trPr>
        <w:tc>
          <w:tcPr>
            <w:tcW w:w="5405" w:type="dxa"/>
            <w:gridSpan w:val="2"/>
            <w:tcBorders>
              <w:top w:val="single" w:color="auto" w:sz="4" w:space="0"/>
              <w:left w:val="single" w:color="000000" w:sz="4" w:space="0"/>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栏次</w:t>
            </w:r>
          </w:p>
        </w:tc>
        <w:tc>
          <w:tcPr>
            <w:tcW w:w="1335" w:type="dxa"/>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1</w:t>
            </w:r>
          </w:p>
        </w:tc>
        <w:tc>
          <w:tcPr>
            <w:tcW w:w="1374" w:type="dxa"/>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2</w:t>
            </w:r>
          </w:p>
        </w:tc>
        <w:tc>
          <w:tcPr>
            <w:tcW w:w="1433" w:type="dxa"/>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3</w:t>
            </w:r>
          </w:p>
        </w:tc>
        <w:tc>
          <w:tcPr>
            <w:tcW w:w="1277" w:type="dxa"/>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4</w:t>
            </w:r>
          </w:p>
        </w:tc>
        <w:tc>
          <w:tcPr>
            <w:tcW w:w="1413" w:type="dxa"/>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5</w:t>
            </w:r>
          </w:p>
        </w:tc>
        <w:tc>
          <w:tcPr>
            <w:tcW w:w="1316" w:type="dxa"/>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6</w:t>
            </w:r>
          </w:p>
        </w:tc>
        <w:tc>
          <w:tcPr>
            <w:tcW w:w="1823" w:type="dxa"/>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7</w:t>
            </w:r>
          </w:p>
        </w:tc>
      </w:tr>
      <w:tr>
        <w:tblPrEx>
          <w:tblCellMar>
            <w:top w:w="0" w:type="dxa"/>
            <w:left w:w="108" w:type="dxa"/>
            <w:bottom w:w="0" w:type="dxa"/>
            <w:right w:w="108" w:type="dxa"/>
          </w:tblCellMar>
        </w:tblPrEx>
        <w:trPr>
          <w:gridAfter w:val="1"/>
          <w:wAfter w:w="56" w:type="dxa"/>
          <w:trHeight w:val="300" w:hRule="atLeast"/>
        </w:trPr>
        <w:tc>
          <w:tcPr>
            <w:tcW w:w="5405" w:type="dxa"/>
            <w:gridSpan w:val="2"/>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合计</w:t>
            </w:r>
          </w:p>
        </w:tc>
        <w:tc>
          <w:tcPr>
            <w:tcW w:w="1335"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392.44</w:t>
            </w:r>
          </w:p>
        </w:tc>
        <w:tc>
          <w:tcPr>
            <w:tcW w:w="137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392.44</w:t>
            </w:r>
          </w:p>
        </w:tc>
        <w:tc>
          <w:tcPr>
            <w:tcW w:w="143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0.00</w:t>
            </w:r>
          </w:p>
        </w:tc>
        <w:tc>
          <w:tcPr>
            <w:tcW w:w="127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0.00</w:t>
            </w:r>
          </w:p>
        </w:tc>
        <w:tc>
          <w:tcPr>
            <w:tcW w:w="141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0.00</w:t>
            </w:r>
          </w:p>
        </w:tc>
        <w:tc>
          <w:tcPr>
            <w:tcW w:w="1316"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0.00</w:t>
            </w:r>
          </w:p>
        </w:tc>
        <w:tc>
          <w:tcPr>
            <w:tcW w:w="182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208</w:t>
            </w:r>
          </w:p>
        </w:tc>
        <w:tc>
          <w:tcPr>
            <w:tcW w:w="248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社会保障和就业支出</w:t>
            </w:r>
          </w:p>
        </w:tc>
        <w:tc>
          <w:tcPr>
            <w:tcW w:w="1335"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43.17</w:t>
            </w:r>
          </w:p>
        </w:tc>
        <w:tc>
          <w:tcPr>
            <w:tcW w:w="1374"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43.17</w:t>
            </w:r>
          </w:p>
        </w:tc>
        <w:tc>
          <w:tcPr>
            <w:tcW w:w="143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277"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41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316"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82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20805</w:t>
            </w:r>
          </w:p>
        </w:tc>
        <w:tc>
          <w:tcPr>
            <w:tcW w:w="248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行政事业单位养老支出</w:t>
            </w:r>
          </w:p>
        </w:tc>
        <w:tc>
          <w:tcPr>
            <w:tcW w:w="1335"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43.17</w:t>
            </w:r>
          </w:p>
        </w:tc>
        <w:tc>
          <w:tcPr>
            <w:tcW w:w="1374"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43.17</w:t>
            </w:r>
          </w:p>
        </w:tc>
        <w:tc>
          <w:tcPr>
            <w:tcW w:w="143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277"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41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316"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82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eastAsia="宋体" w:cs="Arial"/>
                <w:sz w:val="20"/>
                <w:szCs w:val="20"/>
              </w:rPr>
            </w:pPr>
            <w:r>
              <w:rPr>
                <w:rFonts w:hint="eastAsia" w:cs="Arial"/>
                <w:sz w:val="20"/>
                <w:szCs w:val="20"/>
              </w:rPr>
              <w:t>2080505</w:t>
            </w:r>
          </w:p>
        </w:tc>
        <w:tc>
          <w:tcPr>
            <w:tcW w:w="2480" w:type="dxa"/>
            <w:tcBorders>
              <w:top w:val="nil"/>
              <w:left w:val="nil"/>
              <w:bottom w:val="single" w:color="000000" w:sz="4" w:space="0"/>
              <w:right w:val="single" w:color="000000" w:sz="4" w:space="0"/>
            </w:tcBorders>
            <w:shd w:val="clear" w:color="000000" w:fill="CCFFFF"/>
            <w:noWrap/>
            <w:vAlign w:val="center"/>
          </w:tcPr>
          <w:p>
            <w:pPr>
              <w:rPr>
                <w:rFonts w:ascii="宋体" w:hAnsi="宋体" w:eastAsia="宋体" w:cs="Arial"/>
                <w:sz w:val="20"/>
                <w:szCs w:val="20"/>
              </w:rPr>
            </w:pPr>
            <w:r>
              <w:rPr>
                <w:rFonts w:hint="eastAsia" w:cs="Arial"/>
                <w:sz w:val="20"/>
                <w:szCs w:val="20"/>
              </w:rPr>
              <w:t>机关事业单位基本养老保险缴费支出</w:t>
            </w:r>
          </w:p>
        </w:tc>
        <w:tc>
          <w:tcPr>
            <w:tcW w:w="1335"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43.17</w:t>
            </w:r>
          </w:p>
        </w:tc>
        <w:tc>
          <w:tcPr>
            <w:tcW w:w="137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43.17</w:t>
            </w:r>
          </w:p>
        </w:tc>
        <w:tc>
          <w:tcPr>
            <w:tcW w:w="143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27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41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316"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82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215</w:t>
            </w:r>
          </w:p>
        </w:tc>
        <w:tc>
          <w:tcPr>
            <w:tcW w:w="248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资源勘探工业信息等支出</w:t>
            </w:r>
          </w:p>
        </w:tc>
        <w:tc>
          <w:tcPr>
            <w:tcW w:w="1335"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49.00</w:t>
            </w:r>
          </w:p>
        </w:tc>
        <w:tc>
          <w:tcPr>
            <w:tcW w:w="1374"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49.00</w:t>
            </w:r>
          </w:p>
        </w:tc>
        <w:tc>
          <w:tcPr>
            <w:tcW w:w="143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277"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41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16"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82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21501</w:t>
            </w:r>
          </w:p>
        </w:tc>
        <w:tc>
          <w:tcPr>
            <w:tcW w:w="248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资源勘探开发</w:t>
            </w:r>
          </w:p>
        </w:tc>
        <w:tc>
          <w:tcPr>
            <w:tcW w:w="1335"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49.00</w:t>
            </w:r>
          </w:p>
        </w:tc>
        <w:tc>
          <w:tcPr>
            <w:tcW w:w="1374"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49.00</w:t>
            </w:r>
          </w:p>
        </w:tc>
        <w:tc>
          <w:tcPr>
            <w:tcW w:w="143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277"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41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16"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82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eastAsia="宋体" w:cs="Arial"/>
                <w:sz w:val="20"/>
                <w:szCs w:val="20"/>
              </w:rPr>
            </w:pPr>
            <w:r>
              <w:rPr>
                <w:rFonts w:hint="eastAsia" w:cs="Arial"/>
                <w:sz w:val="20"/>
                <w:szCs w:val="20"/>
              </w:rPr>
              <w:t>2150199</w:t>
            </w:r>
          </w:p>
        </w:tc>
        <w:tc>
          <w:tcPr>
            <w:tcW w:w="2480" w:type="dxa"/>
            <w:tcBorders>
              <w:top w:val="nil"/>
              <w:left w:val="nil"/>
              <w:bottom w:val="single" w:color="000000" w:sz="4" w:space="0"/>
              <w:right w:val="single" w:color="000000" w:sz="4" w:space="0"/>
            </w:tcBorders>
            <w:shd w:val="clear" w:color="000000" w:fill="CCFFFF"/>
            <w:noWrap/>
            <w:vAlign w:val="center"/>
          </w:tcPr>
          <w:p>
            <w:pPr>
              <w:rPr>
                <w:rFonts w:ascii="宋体" w:hAnsi="宋体" w:eastAsia="宋体" w:cs="Arial"/>
                <w:sz w:val="20"/>
                <w:szCs w:val="20"/>
              </w:rPr>
            </w:pPr>
            <w:r>
              <w:rPr>
                <w:rFonts w:hint="eastAsia" w:cs="Arial"/>
                <w:sz w:val="20"/>
                <w:szCs w:val="20"/>
              </w:rPr>
              <w:t>其他资源勘探业支出</w:t>
            </w:r>
          </w:p>
        </w:tc>
        <w:tc>
          <w:tcPr>
            <w:tcW w:w="1335"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49.00</w:t>
            </w:r>
          </w:p>
        </w:tc>
        <w:tc>
          <w:tcPr>
            <w:tcW w:w="137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49.00</w:t>
            </w:r>
          </w:p>
        </w:tc>
        <w:tc>
          <w:tcPr>
            <w:tcW w:w="143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27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41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316"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82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220</w:t>
            </w:r>
          </w:p>
        </w:tc>
        <w:tc>
          <w:tcPr>
            <w:tcW w:w="248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自然资源海洋气象等支出</w:t>
            </w:r>
          </w:p>
        </w:tc>
        <w:tc>
          <w:tcPr>
            <w:tcW w:w="1335"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218.77</w:t>
            </w:r>
          </w:p>
        </w:tc>
        <w:tc>
          <w:tcPr>
            <w:tcW w:w="1374"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218.77</w:t>
            </w:r>
          </w:p>
        </w:tc>
        <w:tc>
          <w:tcPr>
            <w:tcW w:w="143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277"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41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316"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82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22001</w:t>
            </w:r>
          </w:p>
        </w:tc>
        <w:tc>
          <w:tcPr>
            <w:tcW w:w="248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自然资源事务</w:t>
            </w:r>
          </w:p>
        </w:tc>
        <w:tc>
          <w:tcPr>
            <w:tcW w:w="1335"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218.77</w:t>
            </w:r>
          </w:p>
        </w:tc>
        <w:tc>
          <w:tcPr>
            <w:tcW w:w="1374"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218.77</w:t>
            </w:r>
          </w:p>
        </w:tc>
        <w:tc>
          <w:tcPr>
            <w:tcW w:w="143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277"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41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316"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82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eastAsia="宋体" w:cs="Arial"/>
                <w:sz w:val="20"/>
                <w:szCs w:val="20"/>
              </w:rPr>
            </w:pPr>
            <w:r>
              <w:rPr>
                <w:rFonts w:hint="eastAsia" w:cs="Arial"/>
                <w:sz w:val="20"/>
                <w:szCs w:val="20"/>
              </w:rPr>
              <w:t>2200150</w:t>
            </w:r>
          </w:p>
        </w:tc>
        <w:tc>
          <w:tcPr>
            <w:tcW w:w="2480" w:type="dxa"/>
            <w:tcBorders>
              <w:top w:val="nil"/>
              <w:left w:val="nil"/>
              <w:bottom w:val="single" w:color="000000" w:sz="4" w:space="0"/>
              <w:right w:val="single" w:color="000000" w:sz="4" w:space="0"/>
            </w:tcBorders>
            <w:shd w:val="clear" w:color="000000" w:fill="CCFFFF"/>
            <w:noWrap/>
            <w:vAlign w:val="center"/>
          </w:tcPr>
          <w:p>
            <w:pPr>
              <w:rPr>
                <w:rFonts w:ascii="宋体" w:hAnsi="宋体" w:eastAsia="宋体" w:cs="Arial"/>
                <w:sz w:val="20"/>
                <w:szCs w:val="20"/>
              </w:rPr>
            </w:pPr>
            <w:r>
              <w:rPr>
                <w:rFonts w:hint="eastAsia" w:cs="Arial"/>
                <w:sz w:val="20"/>
                <w:szCs w:val="20"/>
              </w:rPr>
              <w:t>事业运行</w:t>
            </w:r>
          </w:p>
        </w:tc>
        <w:tc>
          <w:tcPr>
            <w:tcW w:w="1335"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218.77</w:t>
            </w:r>
          </w:p>
        </w:tc>
        <w:tc>
          <w:tcPr>
            <w:tcW w:w="137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218.77</w:t>
            </w:r>
          </w:p>
        </w:tc>
        <w:tc>
          <w:tcPr>
            <w:tcW w:w="143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27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41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316"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82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221</w:t>
            </w:r>
          </w:p>
        </w:tc>
        <w:tc>
          <w:tcPr>
            <w:tcW w:w="248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住房保障支出</w:t>
            </w:r>
          </w:p>
        </w:tc>
        <w:tc>
          <w:tcPr>
            <w:tcW w:w="1335"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81.50</w:t>
            </w:r>
          </w:p>
        </w:tc>
        <w:tc>
          <w:tcPr>
            <w:tcW w:w="1374"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81.50</w:t>
            </w:r>
          </w:p>
        </w:tc>
        <w:tc>
          <w:tcPr>
            <w:tcW w:w="143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277"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41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316"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82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22102</w:t>
            </w:r>
          </w:p>
        </w:tc>
        <w:tc>
          <w:tcPr>
            <w:tcW w:w="248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住房改革支出</w:t>
            </w:r>
          </w:p>
        </w:tc>
        <w:tc>
          <w:tcPr>
            <w:tcW w:w="1335"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81.50</w:t>
            </w:r>
          </w:p>
        </w:tc>
        <w:tc>
          <w:tcPr>
            <w:tcW w:w="1374"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81.50</w:t>
            </w:r>
          </w:p>
        </w:tc>
        <w:tc>
          <w:tcPr>
            <w:tcW w:w="143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277"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41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316"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823"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eastAsia="宋体" w:cs="Arial"/>
                <w:sz w:val="20"/>
                <w:szCs w:val="20"/>
              </w:rPr>
            </w:pPr>
            <w:r>
              <w:rPr>
                <w:rFonts w:hint="eastAsia" w:cs="Arial"/>
                <w:sz w:val="20"/>
                <w:szCs w:val="20"/>
              </w:rPr>
              <w:t>2210201</w:t>
            </w:r>
          </w:p>
        </w:tc>
        <w:tc>
          <w:tcPr>
            <w:tcW w:w="2480" w:type="dxa"/>
            <w:tcBorders>
              <w:top w:val="nil"/>
              <w:left w:val="nil"/>
              <w:bottom w:val="single" w:color="000000" w:sz="4" w:space="0"/>
              <w:right w:val="single" w:color="000000" w:sz="4" w:space="0"/>
            </w:tcBorders>
            <w:shd w:val="clear" w:color="000000" w:fill="CCFFFF"/>
            <w:noWrap/>
            <w:vAlign w:val="center"/>
          </w:tcPr>
          <w:p>
            <w:pPr>
              <w:rPr>
                <w:rFonts w:ascii="宋体" w:hAnsi="宋体" w:eastAsia="宋体" w:cs="Arial"/>
                <w:sz w:val="20"/>
                <w:szCs w:val="20"/>
              </w:rPr>
            </w:pPr>
            <w:r>
              <w:rPr>
                <w:rFonts w:hint="eastAsia" w:cs="Arial"/>
                <w:sz w:val="20"/>
                <w:szCs w:val="20"/>
              </w:rPr>
              <w:t>住房公积金</w:t>
            </w:r>
          </w:p>
        </w:tc>
        <w:tc>
          <w:tcPr>
            <w:tcW w:w="1335"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64.10</w:t>
            </w:r>
          </w:p>
        </w:tc>
        <w:tc>
          <w:tcPr>
            <w:tcW w:w="137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64.10</w:t>
            </w:r>
          </w:p>
        </w:tc>
        <w:tc>
          <w:tcPr>
            <w:tcW w:w="143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27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41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316"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82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gridAfter w:val="1"/>
          <w:wAfter w:w="56" w:type="dxa"/>
          <w:trHeight w:val="300" w:hRule="atLeast"/>
        </w:trPr>
        <w:tc>
          <w:tcPr>
            <w:tcW w:w="2925" w:type="dxa"/>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eastAsia="宋体" w:cs="Arial"/>
                <w:sz w:val="20"/>
                <w:szCs w:val="20"/>
              </w:rPr>
            </w:pPr>
            <w:r>
              <w:rPr>
                <w:rFonts w:hint="eastAsia" w:cs="Arial"/>
                <w:sz w:val="20"/>
                <w:szCs w:val="20"/>
              </w:rPr>
              <w:t>2210203</w:t>
            </w:r>
          </w:p>
        </w:tc>
        <w:tc>
          <w:tcPr>
            <w:tcW w:w="2480" w:type="dxa"/>
            <w:tcBorders>
              <w:top w:val="nil"/>
              <w:left w:val="nil"/>
              <w:bottom w:val="single" w:color="000000" w:sz="4" w:space="0"/>
              <w:right w:val="single" w:color="000000" w:sz="4" w:space="0"/>
            </w:tcBorders>
            <w:shd w:val="clear" w:color="000000" w:fill="CCFFFF"/>
            <w:noWrap/>
            <w:vAlign w:val="center"/>
          </w:tcPr>
          <w:p>
            <w:pPr>
              <w:rPr>
                <w:rFonts w:ascii="宋体" w:hAnsi="宋体" w:eastAsia="宋体" w:cs="Arial"/>
                <w:sz w:val="20"/>
                <w:szCs w:val="20"/>
              </w:rPr>
            </w:pPr>
            <w:r>
              <w:rPr>
                <w:rFonts w:hint="eastAsia" w:cs="Arial"/>
                <w:sz w:val="20"/>
                <w:szCs w:val="20"/>
              </w:rPr>
              <w:t>购房补贴</w:t>
            </w:r>
          </w:p>
        </w:tc>
        <w:tc>
          <w:tcPr>
            <w:tcW w:w="1335"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17.40</w:t>
            </w:r>
          </w:p>
        </w:tc>
        <w:tc>
          <w:tcPr>
            <w:tcW w:w="137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17.40</w:t>
            </w:r>
          </w:p>
        </w:tc>
        <w:tc>
          <w:tcPr>
            <w:tcW w:w="143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27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41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316"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82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0" w:type="dxa"/>
            <w:bottom w:w="0" w:type="dxa"/>
            <w:right w:w="0" w:type="dxa"/>
          </w:tblCellMar>
        </w:tblPrEx>
        <w:trPr>
          <w:trHeight w:val="615" w:hRule="atLeast"/>
        </w:trPr>
        <w:tc>
          <w:tcPr>
            <w:tcW w:w="15432"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ascii="宋体" w:hAnsi="宋体" w:eastAsia="宋体" w:cs="宋体"/>
                <w:kern w:val="0"/>
                <w:sz w:val="24"/>
                <w:szCs w:val="24"/>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3520" w:type="dxa"/>
        <w:tblInd w:w="89" w:type="dxa"/>
        <w:tblLayout w:type="autofit"/>
        <w:tblCellMar>
          <w:top w:w="0" w:type="dxa"/>
          <w:left w:w="108" w:type="dxa"/>
          <w:bottom w:w="0" w:type="dxa"/>
          <w:right w:w="108" w:type="dxa"/>
        </w:tblCellMar>
      </w:tblPr>
      <w:tblGrid>
        <w:gridCol w:w="1107"/>
        <w:gridCol w:w="3920"/>
        <w:gridCol w:w="1800"/>
        <w:gridCol w:w="1800"/>
        <w:gridCol w:w="1380"/>
        <w:gridCol w:w="1300"/>
        <w:gridCol w:w="940"/>
        <w:gridCol w:w="1360"/>
      </w:tblGrid>
      <w:tr>
        <w:tblPrEx>
          <w:tblCellMar>
            <w:top w:w="0" w:type="dxa"/>
            <w:left w:w="108" w:type="dxa"/>
            <w:bottom w:w="0" w:type="dxa"/>
            <w:right w:w="108" w:type="dxa"/>
          </w:tblCellMar>
        </w:tblPrEx>
        <w:trPr>
          <w:trHeight w:val="435" w:hRule="atLeast"/>
        </w:trPr>
        <w:tc>
          <w:tcPr>
            <w:tcW w:w="13520" w:type="dxa"/>
            <w:gridSpan w:val="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b/>
                <w:bCs/>
                <w:color w:val="000000"/>
                <w:kern w:val="0"/>
                <w:sz w:val="32"/>
                <w:szCs w:val="32"/>
              </w:rPr>
              <w:t>支出决算表</w:t>
            </w:r>
          </w:p>
        </w:tc>
      </w:tr>
      <w:tr>
        <w:tblPrEx>
          <w:tblCellMar>
            <w:top w:w="0" w:type="dxa"/>
            <w:left w:w="108" w:type="dxa"/>
            <w:bottom w:w="0" w:type="dxa"/>
            <w:right w:w="108" w:type="dxa"/>
          </w:tblCellMar>
        </w:tblPrEx>
        <w:trPr>
          <w:trHeight w:val="435" w:hRule="atLeast"/>
        </w:trPr>
        <w:tc>
          <w:tcPr>
            <w:tcW w:w="13520" w:type="dxa"/>
            <w:gridSpan w:val="8"/>
            <w:tcBorders>
              <w:top w:val="nil"/>
              <w:left w:val="nil"/>
              <w:bottom w:val="nil"/>
              <w:right w:val="nil"/>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35" w:hRule="atLeast"/>
        </w:trPr>
        <w:tc>
          <w:tcPr>
            <w:tcW w:w="13520" w:type="dxa"/>
            <w:gridSpan w:val="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宋体" w:hAnsi="宋体" w:eastAsia="宋体" w:cs="宋体"/>
                <w:color w:val="000000"/>
                <w:kern w:val="0"/>
                <w:sz w:val="20"/>
                <w:szCs w:val="20"/>
              </w:rPr>
              <w:t>部门：湖南省核工业地质局探矿技术研究所                                                                                     单位：万元</w:t>
            </w:r>
          </w:p>
        </w:tc>
      </w:tr>
      <w:tr>
        <w:tblPrEx>
          <w:tblCellMar>
            <w:top w:w="0" w:type="dxa"/>
            <w:left w:w="108" w:type="dxa"/>
            <w:bottom w:w="0" w:type="dxa"/>
            <w:right w:w="108" w:type="dxa"/>
          </w:tblCellMar>
        </w:tblPrEx>
        <w:trPr>
          <w:trHeight w:val="300" w:hRule="atLeast"/>
        </w:trPr>
        <w:tc>
          <w:tcPr>
            <w:tcW w:w="4940" w:type="dxa"/>
            <w:gridSpan w:val="2"/>
            <w:tcBorders>
              <w:top w:val="single" w:color="auto" w:sz="4" w:space="0"/>
              <w:left w:val="single" w:color="auto" w:sz="4" w:space="0"/>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项目</w:t>
            </w:r>
          </w:p>
        </w:tc>
        <w:tc>
          <w:tcPr>
            <w:tcW w:w="1800" w:type="dxa"/>
            <w:vMerge w:val="restart"/>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本年支出合计</w:t>
            </w:r>
          </w:p>
        </w:tc>
        <w:tc>
          <w:tcPr>
            <w:tcW w:w="1800" w:type="dxa"/>
            <w:vMerge w:val="restart"/>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基本支出</w:t>
            </w:r>
          </w:p>
        </w:tc>
        <w:tc>
          <w:tcPr>
            <w:tcW w:w="1380" w:type="dxa"/>
            <w:vMerge w:val="restart"/>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项目支出</w:t>
            </w:r>
          </w:p>
        </w:tc>
        <w:tc>
          <w:tcPr>
            <w:tcW w:w="1300" w:type="dxa"/>
            <w:vMerge w:val="restart"/>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上缴上级支出</w:t>
            </w:r>
          </w:p>
        </w:tc>
        <w:tc>
          <w:tcPr>
            <w:tcW w:w="940" w:type="dxa"/>
            <w:vMerge w:val="restart"/>
            <w:tcBorders>
              <w:top w:val="single" w:color="auto" w:sz="4" w:space="0"/>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经营支出</w:t>
            </w:r>
          </w:p>
        </w:tc>
        <w:tc>
          <w:tcPr>
            <w:tcW w:w="1360" w:type="dxa"/>
            <w:vMerge w:val="restart"/>
            <w:tcBorders>
              <w:top w:val="single" w:color="auto" w:sz="4" w:space="0"/>
              <w:left w:val="nil"/>
              <w:bottom w:val="single" w:color="000000" w:sz="4" w:space="0"/>
              <w:right w:val="single" w:color="auto"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对附属单位补助支出</w:t>
            </w:r>
          </w:p>
        </w:tc>
      </w:tr>
      <w:tr>
        <w:tblPrEx>
          <w:tblCellMar>
            <w:top w:w="0" w:type="dxa"/>
            <w:left w:w="108" w:type="dxa"/>
            <w:bottom w:w="0" w:type="dxa"/>
            <w:right w:w="108" w:type="dxa"/>
          </w:tblCellMar>
        </w:tblPrEx>
        <w:trPr>
          <w:trHeight w:val="312" w:hRule="atLeast"/>
        </w:trPr>
        <w:tc>
          <w:tcPr>
            <w:tcW w:w="1020" w:type="dxa"/>
            <w:vMerge w:val="restart"/>
            <w:tcBorders>
              <w:top w:val="nil"/>
              <w:left w:val="single" w:color="auto" w:sz="4" w:space="0"/>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功能分类科目编码</w:t>
            </w:r>
          </w:p>
        </w:tc>
        <w:tc>
          <w:tcPr>
            <w:tcW w:w="3920" w:type="dxa"/>
            <w:vMerge w:val="restart"/>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科目名称</w:t>
            </w: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38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3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94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360" w:type="dxa"/>
            <w:vMerge w:val="continue"/>
            <w:tcBorders>
              <w:top w:val="nil"/>
              <w:left w:val="nil"/>
              <w:bottom w:val="single" w:color="000000" w:sz="4" w:space="0"/>
              <w:right w:val="single" w:color="auto"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trHeight w:val="312" w:hRule="atLeast"/>
        </w:trPr>
        <w:tc>
          <w:tcPr>
            <w:tcW w:w="1020" w:type="dxa"/>
            <w:vMerge w:val="continue"/>
            <w:tcBorders>
              <w:top w:val="nil"/>
              <w:left w:val="single" w:color="auto" w:sz="4" w:space="0"/>
              <w:bottom w:val="single" w:color="000000" w:sz="4" w:space="0"/>
              <w:right w:val="single" w:color="000000" w:sz="4" w:space="0"/>
            </w:tcBorders>
            <w:vAlign w:val="center"/>
          </w:tcPr>
          <w:p>
            <w:pPr>
              <w:rPr>
                <w:rFonts w:ascii="宋体" w:hAnsi="宋体" w:eastAsia="宋体" w:cs="Arial"/>
                <w:sz w:val="20"/>
                <w:szCs w:val="20"/>
              </w:rPr>
            </w:pPr>
          </w:p>
        </w:tc>
        <w:tc>
          <w:tcPr>
            <w:tcW w:w="392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38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3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94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360" w:type="dxa"/>
            <w:vMerge w:val="continue"/>
            <w:tcBorders>
              <w:top w:val="nil"/>
              <w:left w:val="nil"/>
              <w:bottom w:val="single" w:color="000000" w:sz="4" w:space="0"/>
              <w:right w:val="single" w:color="auto"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trHeight w:val="312" w:hRule="atLeast"/>
        </w:trPr>
        <w:tc>
          <w:tcPr>
            <w:tcW w:w="1020" w:type="dxa"/>
            <w:vMerge w:val="continue"/>
            <w:tcBorders>
              <w:top w:val="nil"/>
              <w:left w:val="single" w:color="auto" w:sz="4" w:space="0"/>
              <w:bottom w:val="single" w:color="000000" w:sz="4" w:space="0"/>
              <w:right w:val="single" w:color="000000" w:sz="4" w:space="0"/>
            </w:tcBorders>
            <w:vAlign w:val="center"/>
          </w:tcPr>
          <w:p>
            <w:pPr>
              <w:rPr>
                <w:rFonts w:ascii="宋体" w:hAnsi="宋体" w:eastAsia="宋体" w:cs="Arial"/>
                <w:sz w:val="20"/>
                <w:szCs w:val="20"/>
              </w:rPr>
            </w:pPr>
          </w:p>
        </w:tc>
        <w:tc>
          <w:tcPr>
            <w:tcW w:w="392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38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3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94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360" w:type="dxa"/>
            <w:vMerge w:val="continue"/>
            <w:tcBorders>
              <w:top w:val="nil"/>
              <w:left w:val="nil"/>
              <w:bottom w:val="single" w:color="000000" w:sz="4" w:space="0"/>
              <w:right w:val="single" w:color="auto"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trHeight w:val="300" w:hRule="atLeast"/>
        </w:trPr>
        <w:tc>
          <w:tcPr>
            <w:tcW w:w="4940" w:type="dxa"/>
            <w:gridSpan w:val="2"/>
            <w:tcBorders>
              <w:top w:val="nil"/>
              <w:left w:val="single" w:color="auto" w:sz="4" w:space="0"/>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栏次</w:t>
            </w:r>
          </w:p>
        </w:tc>
        <w:tc>
          <w:tcPr>
            <w:tcW w:w="1800" w:type="dxa"/>
            <w:tcBorders>
              <w:top w:val="nil"/>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1</w:t>
            </w:r>
          </w:p>
        </w:tc>
        <w:tc>
          <w:tcPr>
            <w:tcW w:w="1800" w:type="dxa"/>
            <w:tcBorders>
              <w:top w:val="nil"/>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2</w:t>
            </w:r>
          </w:p>
        </w:tc>
        <w:tc>
          <w:tcPr>
            <w:tcW w:w="1380" w:type="dxa"/>
            <w:tcBorders>
              <w:top w:val="nil"/>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3</w:t>
            </w:r>
          </w:p>
        </w:tc>
        <w:tc>
          <w:tcPr>
            <w:tcW w:w="1300" w:type="dxa"/>
            <w:tcBorders>
              <w:top w:val="nil"/>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4</w:t>
            </w:r>
          </w:p>
        </w:tc>
        <w:tc>
          <w:tcPr>
            <w:tcW w:w="940" w:type="dxa"/>
            <w:tcBorders>
              <w:top w:val="nil"/>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5</w:t>
            </w:r>
          </w:p>
        </w:tc>
        <w:tc>
          <w:tcPr>
            <w:tcW w:w="1360" w:type="dxa"/>
            <w:tcBorders>
              <w:top w:val="nil"/>
              <w:left w:val="nil"/>
              <w:bottom w:val="single" w:color="000000" w:sz="4" w:space="0"/>
              <w:right w:val="single" w:color="auto"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6</w:t>
            </w:r>
          </w:p>
        </w:tc>
      </w:tr>
      <w:tr>
        <w:tblPrEx>
          <w:tblCellMar>
            <w:top w:w="0" w:type="dxa"/>
            <w:left w:w="108" w:type="dxa"/>
            <w:bottom w:w="0" w:type="dxa"/>
            <w:right w:w="108" w:type="dxa"/>
          </w:tblCellMar>
        </w:tblPrEx>
        <w:trPr>
          <w:trHeight w:val="300" w:hRule="atLeast"/>
        </w:trPr>
        <w:tc>
          <w:tcPr>
            <w:tcW w:w="4940" w:type="dxa"/>
            <w:gridSpan w:val="2"/>
            <w:tcBorders>
              <w:top w:val="nil"/>
              <w:left w:val="single" w:color="auto"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合计</w:t>
            </w:r>
          </w:p>
        </w:tc>
        <w:tc>
          <w:tcPr>
            <w:tcW w:w="18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413.84</w:t>
            </w:r>
          </w:p>
        </w:tc>
        <w:tc>
          <w:tcPr>
            <w:tcW w:w="18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413.84</w:t>
            </w:r>
          </w:p>
        </w:tc>
        <w:tc>
          <w:tcPr>
            <w:tcW w:w="138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　</w:t>
            </w:r>
          </w:p>
        </w:tc>
        <w:tc>
          <w:tcPr>
            <w:tcW w:w="13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0.00</w:t>
            </w:r>
          </w:p>
        </w:tc>
        <w:tc>
          <w:tcPr>
            <w:tcW w:w="94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0.00</w:t>
            </w:r>
          </w:p>
        </w:tc>
        <w:tc>
          <w:tcPr>
            <w:tcW w:w="1360" w:type="dxa"/>
            <w:tcBorders>
              <w:top w:val="nil"/>
              <w:left w:val="nil"/>
              <w:bottom w:val="single" w:color="000000" w:sz="4" w:space="0"/>
              <w:right w:val="single" w:color="auto" w:sz="4" w:space="0"/>
            </w:tcBorders>
            <w:shd w:val="clear" w:color="000000" w:fill="FFFFFF"/>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208</w:t>
            </w:r>
          </w:p>
        </w:tc>
        <w:tc>
          <w:tcPr>
            <w:tcW w:w="392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社会保障和就业支出</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43.17</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43.17</w:t>
            </w:r>
          </w:p>
        </w:tc>
        <w:tc>
          <w:tcPr>
            <w:tcW w:w="138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94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60" w:type="dxa"/>
            <w:tcBorders>
              <w:top w:val="nil"/>
              <w:left w:val="nil"/>
              <w:bottom w:val="single" w:color="000000" w:sz="4" w:space="0"/>
              <w:right w:val="single" w:color="auto"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20805</w:t>
            </w:r>
          </w:p>
        </w:tc>
        <w:tc>
          <w:tcPr>
            <w:tcW w:w="392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行政事业单位养老支出</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43.17</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43.17</w:t>
            </w:r>
          </w:p>
        </w:tc>
        <w:tc>
          <w:tcPr>
            <w:tcW w:w="138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94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60" w:type="dxa"/>
            <w:tcBorders>
              <w:top w:val="nil"/>
              <w:left w:val="nil"/>
              <w:bottom w:val="single" w:color="000000" w:sz="4" w:space="0"/>
              <w:right w:val="single" w:color="auto"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FFFFFF"/>
            <w:noWrap/>
            <w:vAlign w:val="center"/>
          </w:tcPr>
          <w:p>
            <w:pPr>
              <w:rPr>
                <w:rFonts w:ascii="宋体" w:hAnsi="宋体" w:eastAsia="宋体" w:cs="Arial"/>
                <w:sz w:val="20"/>
                <w:szCs w:val="20"/>
              </w:rPr>
            </w:pPr>
            <w:r>
              <w:rPr>
                <w:rFonts w:hint="eastAsia" w:cs="Arial"/>
                <w:sz w:val="20"/>
                <w:szCs w:val="20"/>
              </w:rPr>
              <w:t>2080505</w:t>
            </w:r>
          </w:p>
        </w:tc>
        <w:tc>
          <w:tcPr>
            <w:tcW w:w="3920" w:type="dxa"/>
            <w:tcBorders>
              <w:top w:val="nil"/>
              <w:left w:val="nil"/>
              <w:bottom w:val="single" w:color="000000" w:sz="4" w:space="0"/>
              <w:right w:val="single" w:color="000000" w:sz="4" w:space="0"/>
            </w:tcBorders>
            <w:shd w:val="clear" w:color="000000" w:fill="CCFFFF"/>
            <w:noWrap/>
            <w:vAlign w:val="center"/>
          </w:tcPr>
          <w:p>
            <w:pPr>
              <w:rPr>
                <w:rFonts w:ascii="宋体" w:hAnsi="宋体" w:eastAsia="宋体" w:cs="Arial"/>
                <w:sz w:val="20"/>
                <w:szCs w:val="20"/>
              </w:rPr>
            </w:pPr>
            <w:r>
              <w:rPr>
                <w:rFonts w:hint="eastAsia" w:cs="Arial"/>
                <w:sz w:val="20"/>
                <w:szCs w:val="20"/>
              </w:rPr>
              <w:t>机关事业单位基本养老保险缴费支出</w:t>
            </w:r>
          </w:p>
        </w:tc>
        <w:tc>
          <w:tcPr>
            <w:tcW w:w="18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43.17</w:t>
            </w:r>
          </w:p>
        </w:tc>
        <w:tc>
          <w:tcPr>
            <w:tcW w:w="18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43.17</w:t>
            </w:r>
          </w:p>
        </w:tc>
        <w:tc>
          <w:tcPr>
            <w:tcW w:w="138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3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94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360" w:type="dxa"/>
            <w:tcBorders>
              <w:top w:val="nil"/>
              <w:left w:val="nil"/>
              <w:bottom w:val="single" w:color="000000" w:sz="4" w:space="0"/>
              <w:right w:val="single" w:color="auto"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215</w:t>
            </w:r>
          </w:p>
        </w:tc>
        <w:tc>
          <w:tcPr>
            <w:tcW w:w="392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资源勘探工业信息等支出</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70.40</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70.40</w:t>
            </w:r>
          </w:p>
        </w:tc>
        <w:tc>
          <w:tcPr>
            <w:tcW w:w="138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94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360" w:type="dxa"/>
            <w:tcBorders>
              <w:top w:val="nil"/>
              <w:left w:val="nil"/>
              <w:bottom w:val="single" w:color="000000" w:sz="4" w:space="0"/>
              <w:right w:val="single" w:color="auto"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21501</w:t>
            </w:r>
          </w:p>
        </w:tc>
        <w:tc>
          <w:tcPr>
            <w:tcW w:w="392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资源勘探开发</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70.40</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70.40</w:t>
            </w:r>
          </w:p>
        </w:tc>
        <w:tc>
          <w:tcPr>
            <w:tcW w:w="138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94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1360" w:type="dxa"/>
            <w:tcBorders>
              <w:top w:val="nil"/>
              <w:left w:val="nil"/>
              <w:bottom w:val="single" w:color="000000" w:sz="4" w:space="0"/>
              <w:right w:val="single" w:color="auto"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FFFFFF"/>
            <w:noWrap/>
            <w:vAlign w:val="center"/>
          </w:tcPr>
          <w:p>
            <w:pPr>
              <w:rPr>
                <w:rFonts w:ascii="宋体" w:hAnsi="宋体" w:eastAsia="宋体" w:cs="Arial"/>
                <w:sz w:val="20"/>
                <w:szCs w:val="20"/>
              </w:rPr>
            </w:pPr>
            <w:r>
              <w:rPr>
                <w:rFonts w:hint="eastAsia" w:cs="Arial"/>
                <w:sz w:val="20"/>
                <w:szCs w:val="20"/>
              </w:rPr>
              <w:t>2150199</w:t>
            </w:r>
          </w:p>
        </w:tc>
        <w:tc>
          <w:tcPr>
            <w:tcW w:w="3920" w:type="dxa"/>
            <w:tcBorders>
              <w:top w:val="nil"/>
              <w:left w:val="nil"/>
              <w:bottom w:val="single" w:color="000000" w:sz="4" w:space="0"/>
              <w:right w:val="single" w:color="000000" w:sz="4" w:space="0"/>
            </w:tcBorders>
            <w:shd w:val="clear" w:color="000000" w:fill="CCFFFF"/>
            <w:noWrap/>
            <w:vAlign w:val="center"/>
          </w:tcPr>
          <w:p>
            <w:pPr>
              <w:rPr>
                <w:rFonts w:ascii="宋体" w:hAnsi="宋体" w:eastAsia="宋体" w:cs="Arial"/>
                <w:sz w:val="20"/>
                <w:szCs w:val="20"/>
              </w:rPr>
            </w:pPr>
            <w:r>
              <w:rPr>
                <w:rFonts w:hint="eastAsia" w:cs="Arial"/>
                <w:sz w:val="20"/>
                <w:szCs w:val="20"/>
              </w:rPr>
              <w:t>其他资源勘探业支出</w:t>
            </w:r>
          </w:p>
        </w:tc>
        <w:tc>
          <w:tcPr>
            <w:tcW w:w="18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70.40</w:t>
            </w:r>
          </w:p>
        </w:tc>
        <w:tc>
          <w:tcPr>
            <w:tcW w:w="18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70.40</w:t>
            </w:r>
          </w:p>
        </w:tc>
        <w:tc>
          <w:tcPr>
            <w:tcW w:w="138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3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94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360" w:type="dxa"/>
            <w:tcBorders>
              <w:top w:val="nil"/>
              <w:left w:val="nil"/>
              <w:bottom w:val="single" w:color="000000" w:sz="4" w:space="0"/>
              <w:right w:val="single" w:color="auto"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220</w:t>
            </w:r>
          </w:p>
        </w:tc>
        <w:tc>
          <w:tcPr>
            <w:tcW w:w="392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自然资源海洋气象等支出</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218.77</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218.77</w:t>
            </w:r>
          </w:p>
        </w:tc>
        <w:tc>
          <w:tcPr>
            <w:tcW w:w="138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94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60" w:type="dxa"/>
            <w:tcBorders>
              <w:top w:val="nil"/>
              <w:left w:val="nil"/>
              <w:bottom w:val="single" w:color="000000" w:sz="4" w:space="0"/>
              <w:right w:val="single" w:color="auto"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22001</w:t>
            </w:r>
          </w:p>
        </w:tc>
        <w:tc>
          <w:tcPr>
            <w:tcW w:w="392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自然资源事务</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218.77</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218.77</w:t>
            </w:r>
          </w:p>
        </w:tc>
        <w:tc>
          <w:tcPr>
            <w:tcW w:w="138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94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60" w:type="dxa"/>
            <w:tcBorders>
              <w:top w:val="nil"/>
              <w:left w:val="nil"/>
              <w:bottom w:val="single" w:color="000000" w:sz="4" w:space="0"/>
              <w:right w:val="single" w:color="auto"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FFFFFF"/>
            <w:noWrap/>
            <w:vAlign w:val="center"/>
          </w:tcPr>
          <w:p>
            <w:pPr>
              <w:rPr>
                <w:rFonts w:ascii="宋体" w:hAnsi="宋体" w:eastAsia="宋体" w:cs="Arial"/>
                <w:sz w:val="20"/>
                <w:szCs w:val="20"/>
              </w:rPr>
            </w:pPr>
            <w:r>
              <w:rPr>
                <w:rFonts w:hint="eastAsia" w:cs="Arial"/>
                <w:sz w:val="20"/>
                <w:szCs w:val="20"/>
              </w:rPr>
              <w:t>2200150</w:t>
            </w:r>
          </w:p>
        </w:tc>
        <w:tc>
          <w:tcPr>
            <w:tcW w:w="3920" w:type="dxa"/>
            <w:tcBorders>
              <w:top w:val="nil"/>
              <w:left w:val="nil"/>
              <w:bottom w:val="single" w:color="000000" w:sz="4" w:space="0"/>
              <w:right w:val="single" w:color="000000" w:sz="4" w:space="0"/>
            </w:tcBorders>
            <w:shd w:val="clear" w:color="000000" w:fill="CCFFFF"/>
            <w:noWrap/>
            <w:vAlign w:val="center"/>
          </w:tcPr>
          <w:p>
            <w:pPr>
              <w:rPr>
                <w:rFonts w:ascii="宋体" w:hAnsi="宋体" w:eastAsia="宋体" w:cs="Arial"/>
                <w:sz w:val="20"/>
                <w:szCs w:val="20"/>
              </w:rPr>
            </w:pPr>
            <w:r>
              <w:rPr>
                <w:rFonts w:hint="eastAsia" w:cs="Arial"/>
                <w:sz w:val="20"/>
                <w:szCs w:val="20"/>
              </w:rPr>
              <w:t>事业运行</w:t>
            </w:r>
          </w:p>
        </w:tc>
        <w:tc>
          <w:tcPr>
            <w:tcW w:w="18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218.77</w:t>
            </w:r>
          </w:p>
        </w:tc>
        <w:tc>
          <w:tcPr>
            <w:tcW w:w="18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218.77</w:t>
            </w:r>
          </w:p>
        </w:tc>
        <w:tc>
          <w:tcPr>
            <w:tcW w:w="138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3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94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360" w:type="dxa"/>
            <w:tcBorders>
              <w:top w:val="nil"/>
              <w:left w:val="nil"/>
              <w:bottom w:val="single" w:color="000000" w:sz="4" w:space="0"/>
              <w:right w:val="single" w:color="auto"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221</w:t>
            </w:r>
          </w:p>
        </w:tc>
        <w:tc>
          <w:tcPr>
            <w:tcW w:w="392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住房保障支出</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81.50</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81.50</w:t>
            </w:r>
          </w:p>
        </w:tc>
        <w:tc>
          <w:tcPr>
            <w:tcW w:w="138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94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60" w:type="dxa"/>
            <w:tcBorders>
              <w:top w:val="nil"/>
              <w:left w:val="nil"/>
              <w:bottom w:val="single" w:color="000000" w:sz="4" w:space="0"/>
              <w:right w:val="single" w:color="auto"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22102</w:t>
            </w:r>
          </w:p>
        </w:tc>
        <w:tc>
          <w:tcPr>
            <w:tcW w:w="392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住房改革支出</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81.50</w:t>
            </w:r>
          </w:p>
        </w:tc>
        <w:tc>
          <w:tcPr>
            <w:tcW w:w="18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81.50</w:t>
            </w:r>
          </w:p>
        </w:tc>
        <w:tc>
          <w:tcPr>
            <w:tcW w:w="138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0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c>
          <w:tcPr>
            <w:tcW w:w="940" w:type="dxa"/>
            <w:tcBorders>
              <w:top w:val="nil"/>
              <w:left w:val="nil"/>
              <w:bottom w:val="single" w:color="000000" w:sz="4" w:space="0"/>
              <w:right w:val="single" w:color="000000"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　</w:t>
            </w:r>
          </w:p>
        </w:tc>
        <w:tc>
          <w:tcPr>
            <w:tcW w:w="1360" w:type="dxa"/>
            <w:tcBorders>
              <w:top w:val="nil"/>
              <w:left w:val="nil"/>
              <w:bottom w:val="single" w:color="000000" w:sz="4" w:space="0"/>
              <w:right w:val="single" w:color="auto" w:sz="4" w:space="0"/>
            </w:tcBorders>
            <w:shd w:val="clear" w:color="000000" w:fill="C0C0C0"/>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000000" w:sz="4" w:space="0"/>
              <w:right w:val="single" w:color="000000" w:sz="4" w:space="0"/>
            </w:tcBorders>
            <w:shd w:val="clear" w:color="000000" w:fill="FFFFFF"/>
            <w:noWrap/>
            <w:vAlign w:val="center"/>
          </w:tcPr>
          <w:p>
            <w:pPr>
              <w:rPr>
                <w:rFonts w:ascii="宋体" w:hAnsi="宋体" w:eastAsia="宋体" w:cs="Arial"/>
                <w:sz w:val="20"/>
                <w:szCs w:val="20"/>
              </w:rPr>
            </w:pPr>
            <w:r>
              <w:rPr>
                <w:rFonts w:hint="eastAsia" w:cs="Arial"/>
                <w:sz w:val="20"/>
                <w:szCs w:val="20"/>
              </w:rPr>
              <w:t>2210201</w:t>
            </w:r>
          </w:p>
        </w:tc>
        <w:tc>
          <w:tcPr>
            <w:tcW w:w="3920" w:type="dxa"/>
            <w:tcBorders>
              <w:top w:val="nil"/>
              <w:left w:val="nil"/>
              <w:bottom w:val="single" w:color="000000" w:sz="4" w:space="0"/>
              <w:right w:val="single" w:color="000000" w:sz="4" w:space="0"/>
            </w:tcBorders>
            <w:shd w:val="clear" w:color="000000" w:fill="CCFFFF"/>
            <w:noWrap/>
            <w:vAlign w:val="center"/>
          </w:tcPr>
          <w:p>
            <w:pPr>
              <w:rPr>
                <w:rFonts w:ascii="宋体" w:hAnsi="宋体" w:eastAsia="宋体" w:cs="Arial"/>
                <w:sz w:val="20"/>
                <w:szCs w:val="20"/>
              </w:rPr>
            </w:pPr>
            <w:r>
              <w:rPr>
                <w:rFonts w:hint="eastAsia" w:cs="Arial"/>
                <w:sz w:val="20"/>
                <w:szCs w:val="20"/>
              </w:rPr>
              <w:t>住房公积金</w:t>
            </w:r>
          </w:p>
        </w:tc>
        <w:tc>
          <w:tcPr>
            <w:tcW w:w="18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64.10</w:t>
            </w:r>
          </w:p>
        </w:tc>
        <w:tc>
          <w:tcPr>
            <w:tcW w:w="18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64.10</w:t>
            </w:r>
          </w:p>
        </w:tc>
        <w:tc>
          <w:tcPr>
            <w:tcW w:w="138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30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94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360" w:type="dxa"/>
            <w:tcBorders>
              <w:top w:val="nil"/>
              <w:left w:val="nil"/>
              <w:bottom w:val="single" w:color="000000" w:sz="4" w:space="0"/>
              <w:right w:val="single" w:color="auto"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1020" w:type="dxa"/>
            <w:tcBorders>
              <w:top w:val="nil"/>
              <w:left w:val="single" w:color="auto" w:sz="4" w:space="0"/>
              <w:bottom w:val="single" w:color="auto" w:sz="4" w:space="0"/>
              <w:right w:val="single" w:color="000000" w:sz="4" w:space="0"/>
            </w:tcBorders>
            <w:shd w:val="clear" w:color="000000" w:fill="FFFFFF"/>
            <w:noWrap/>
            <w:vAlign w:val="center"/>
          </w:tcPr>
          <w:p>
            <w:pPr>
              <w:rPr>
                <w:rFonts w:ascii="宋体" w:hAnsi="宋体" w:eastAsia="宋体" w:cs="Arial"/>
                <w:sz w:val="20"/>
                <w:szCs w:val="20"/>
              </w:rPr>
            </w:pPr>
            <w:r>
              <w:rPr>
                <w:rFonts w:hint="eastAsia" w:cs="Arial"/>
                <w:sz w:val="20"/>
                <w:szCs w:val="20"/>
              </w:rPr>
              <w:t>2210203</w:t>
            </w:r>
          </w:p>
        </w:tc>
        <w:tc>
          <w:tcPr>
            <w:tcW w:w="3920" w:type="dxa"/>
            <w:tcBorders>
              <w:top w:val="nil"/>
              <w:left w:val="nil"/>
              <w:bottom w:val="single" w:color="auto" w:sz="4" w:space="0"/>
              <w:right w:val="single" w:color="000000" w:sz="4" w:space="0"/>
            </w:tcBorders>
            <w:shd w:val="clear" w:color="000000" w:fill="CCFFFF"/>
            <w:noWrap/>
            <w:vAlign w:val="center"/>
          </w:tcPr>
          <w:p>
            <w:pPr>
              <w:rPr>
                <w:rFonts w:ascii="宋体" w:hAnsi="宋体" w:eastAsia="宋体" w:cs="Arial"/>
                <w:sz w:val="20"/>
                <w:szCs w:val="20"/>
              </w:rPr>
            </w:pPr>
            <w:r>
              <w:rPr>
                <w:rFonts w:hint="eastAsia" w:cs="Arial"/>
                <w:sz w:val="20"/>
                <w:szCs w:val="20"/>
              </w:rPr>
              <w:t>购房补贴</w:t>
            </w:r>
          </w:p>
        </w:tc>
        <w:tc>
          <w:tcPr>
            <w:tcW w:w="1800" w:type="dxa"/>
            <w:tcBorders>
              <w:top w:val="nil"/>
              <w:left w:val="nil"/>
              <w:bottom w:val="single" w:color="auto"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17.40</w:t>
            </w:r>
          </w:p>
        </w:tc>
        <w:tc>
          <w:tcPr>
            <w:tcW w:w="1800" w:type="dxa"/>
            <w:tcBorders>
              <w:top w:val="nil"/>
              <w:left w:val="nil"/>
              <w:bottom w:val="single" w:color="auto"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17.40</w:t>
            </w:r>
          </w:p>
        </w:tc>
        <w:tc>
          <w:tcPr>
            <w:tcW w:w="1380" w:type="dxa"/>
            <w:tcBorders>
              <w:top w:val="nil"/>
              <w:left w:val="nil"/>
              <w:bottom w:val="single" w:color="auto"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300" w:type="dxa"/>
            <w:tcBorders>
              <w:top w:val="nil"/>
              <w:left w:val="nil"/>
              <w:bottom w:val="single" w:color="auto"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940" w:type="dxa"/>
            <w:tcBorders>
              <w:top w:val="nil"/>
              <w:left w:val="nil"/>
              <w:bottom w:val="single" w:color="auto"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360"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630" w:hRule="atLeast"/>
        </w:trPr>
        <w:tc>
          <w:tcPr>
            <w:tcW w:w="13520" w:type="dxa"/>
            <w:gridSpan w:val="8"/>
            <w:tcBorders>
              <w:top w:val="single" w:color="auto" w:sz="4" w:space="0"/>
              <w:left w:val="nil"/>
              <w:bottom w:val="nil"/>
              <w:right w:val="nil"/>
            </w:tcBorders>
            <w:shd w:val="clear" w:color="auto" w:fill="auto"/>
            <w:vAlign w:val="center"/>
          </w:tcPr>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5" w:type="dxa"/>
        <w:tblInd w:w="89" w:type="dxa"/>
        <w:tblLayout w:type="fixed"/>
        <w:tblCellMar>
          <w:top w:w="0" w:type="dxa"/>
          <w:left w:w="108" w:type="dxa"/>
          <w:bottom w:w="0" w:type="dxa"/>
          <w:right w:w="108" w:type="dxa"/>
        </w:tblCellMar>
      </w:tblPr>
      <w:tblGrid>
        <w:gridCol w:w="3280"/>
        <w:gridCol w:w="315"/>
        <w:gridCol w:w="265"/>
        <w:gridCol w:w="171"/>
        <w:gridCol w:w="1509"/>
        <w:gridCol w:w="65"/>
        <w:gridCol w:w="3547"/>
        <w:gridCol w:w="435"/>
        <w:gridCol w:w="686"/>
        <w:gridCol w:w="578"/>
        <w:gridCol w:w="309"/>
        <w:gridCol w:w="593"/>
        <w:gridCol w:w="801"/>
        <w:gridCol w:w="837"/>
        <w:gridCol w:w="557"/>
        <w:gridCol w:w="360"/>
        <w:gridCol w:w="832"/>
        <w:gridCol w:w="385"/>
      </w:tblGrid>
      <w:tr>
        <w:tblPrEx>
          <w:tblCellMar>
            <w:top w:w="0" w:type="dxa"/>
            <w:left w:w="108" w:type="dxa"/>
            <w:bottom w:w="0" w:type="dxa"/>
            <w:right w:w="108" w:type="dxa"/>
          </w:tblCellMar>
        </w:tblPrEx>
        <w:trPr>
          <w:gridAfter w:val="1"/>
          <w:wAfter w:w="385" w:type="dxa"/>
          <w:trHeight w:val="285" w:hRule="atLeast"/>
        </w:trPr>
        <w:tc>
          <w:tcPr>
            <w:tcW w:w="3595" w:type="dxa"/>
            <w:gridSpan w:val="2"/>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19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385" w:type="dxa"/>
          <w:trHeight w:val="360" w:hRule="atLeast"/>
        </w:trPr>
        <w:tc>
          <w:tcPr>
            <w:tcW w:w="15140" w:type="dxa"/>
            <w:gridSpan w:val="17"/>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b/>
                <w:bCs/>
                <w:color w:val="000000"/>
                <w:kern w:val="0"/>
                <w:sz w:val="32"/>
                <w:szCs w:val="32"/>
              </w:rPr>
              <w:t>财政拨款收入支出决算总表</w:t>
            </w:r>
          </w:p>
        </w:tc>
      </w:tr>
      <w:tr>
        <w:tblPrEx>
          <w:tblCellMar>
            <w:top w:w="0" w:type="dxa"/>
            <w:left w:w="108" w:type="dxa"/>
            <w:bottom w:w="0" w:type="dxa"/>
            <w:right w:w="108" w:type="dxa"/>
          </w:tblCellMar>
        </w:tblPrEx>
        <w:trPr>
          <w:gridAfter w:val="1"/>
          <w:wAfter w:w="385" w:type="dxa"/>
          <w:trHeight w:val="399" w:hRule="atLeast"/>
        </w:trPr>
        <w:tc>
          <w:tcPr>
            <w:tcW w:w="15140" w:type="dxa"/>
            <w:gridSpan w:val="17"/>
            <w:tcBorders>
              <w:top w:val="nil"/>
              <w:left w:val="nil"/>
              <w:bottom w:val="nil"/>
              <w:right w:val="nil"/>
            </w:tcBorders>
            <w:shd w:val="clear" w:color="auto" w:fill="auto"/>
            <w:noWrap/>
            <w:vAlign w:val="center"/>
          </w:tcPr>
          <w:p>
            <w:pPr>
              <w:widowControl/>
              <w:jc w:val="right"/>
              <w:rPr>
                <w:rFonts w:ascii="华文中宋" w:hAnsi="华文中宋" w:eastAsia="华文中宋" w:cs="宋体"/>
                <w:color w:val="000000"/>
                <w:kern w:val="0"/>
                <w:sz w:val="24"/>
                <w:szCs w:val="24"/>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gridAfter w:val="1"/>
          <w:wAfter w:w="385" w:type="dxa"/>
          <w:trHeight w:val="354" w:hRule="atLeast"/>
        </w:trPr>
        <w:tc>
          <w:tcPr>
            <w:tcW w:w="15140" w:type="dxa"/>
            <w:gridSpan w:val="17"/>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部门：湖南省核工业地质局探矿技术研究所                                                                                                      单位：万元</w:t>
            </w:r>
          </w:p>
        </w:tc>
      </w:tr>
      <w:tr>
        <w:tblPrEx>
          <w:tblCellMar>
            <w:top w:w="0" w:type="dxa"/>
            <w:left w:w="108" w:type="dxa"/>
            <w:bottom w:w="0" w:type="dxa"/>
            <w:right w:w="108" w:type="dxa"/>
          </w:tblCellMar>
        </w:tblPrEx>
        <w:trPr>
          <w:gridAfter w:val="1"/>
          <w:wAfter w:w="385" w:type="dxa"/>
          <w:trHeight w:val="317" w:hRule="atLeast"/>
        </w:trPr>
        <w:tc>
          <w:tcPr>
            <w:tcW w:w="5540" w:type="dxa"/>
            <w:gridSpan w:val="5"/>
            <w:tcBorders>
              <w:top w:val="single" w:color="auto" w:sz="4" w:space="0"/>
              <w:left w:val="single" w:color="auto" w:sz="4" w:space="0"/>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收入</w:t>
            </w:r>
          </w:p>
        </w:tc>
        <w:tc>
          <w:tcPr>
            <w:tcW w:w="9600" w:type="dxa"/>
            <w:gridSpan w:val="12"/>
            <w:tcBorders>
              <w:top w:val="single" w:color="auto" w:sz="4" w:space="0"/>
              <w:left w:val="nil"/>
              <w:bottom w:val="single" w:color="000000" w:sz="4" w:space="0"/>
              <w:right w:val="single" w:color="auto"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支出</w:t>
            </w:r>
          </w:p>
        </w:tc>
      </w:tr>
      <w:tr>
        <w:tblPrEx>
          <w:tblCellMar>
            <w:top w:w="0" w:type="dxa"/>
            <w:left w:w="108" w:type="dxa"/>
            <w:bottom w:w="0" w:type="dxa"/>
            <w:right w:w="108" w:type="dxa"/>
          </w:tblCellMar>
        </w:tblPrEx>
        <w:trPr>
          <w:gridAfter w:val="1"/>
          <w:wAfter w:w="385" w:type="dxa"/>
          <w:trHeight w:val="312" w:hRule="atLeast"/>
        </w:trPr>
        <w:tc>
          <w:tcPr>
            <w:tcW w:w="3280" w:type="dxa"/>
            <w:vMerge w:val="restart"/>
            <w:tcBorders>
              <w:top w:val="nil"/>
              <w:left w:val="single" w:color="auto" w:sz="4" w:space="0"/>
              <w:bottom w:val="single" w:color="000000" w:sz="4" w:space="0"/>
              <w:right w:val="single" w:color="000000" w:sz="4" w:space="0"/>
            </w:tcBorders>
            <w:shd w:val="clear" w:color="000000" w:fill="C0C0C0"/>
            <w:vAlign w:val="center"/>
          </w:tcPr>
          <w:p>
            <w:pPr>
              <w:rPr>
                <w:rFonts w:ascii="宋体" w:hAnsi="宋体" w:eastAsia="宋体" w:cs="Arial"/>
                <w:sz w:val="20"/>
                <w:szCs w:val="20"/>
              </w:rPr>
            </w:pPr>
            <w:r>
              <w:rPr>
                <w:rFonts w:hint="eastAsia" w:cs="Arial"/>
                <w:sz w:val="20"/>
                <w:szCs w:val="20"/>
              </w:rPr>
              <w:t>项目</w:t>
            </w:r>
          </w:p>
        </w:tc>
        <w:tc>
          <w:tcPr>
            <w:tcW w:w="580" w:type="dxa"/>
            <w:gridSpan w:val="2"/>
            <w:vMerge w:val="restart"/>
            <w:tcBorders>
              <w:top w:val="nil"/>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行次</w:t>
            </w:r>
          </w:p>
        </w:tc>
        <w:tc>
          <w:tcPr>
            <w:tcW w:w="1680" w:type="dxa"/>
            <w:gridSpan w:val="2"/>
            <w:vMerge w:val="restart"/>
            <w:tcBorders>
              <w:top w:val="nil"/>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金额</w:t>
            </w:r>
          </w:p>
        </w:tc>
        <w:tc>
          <w:tcPr>
            <w:tcW w:w="4733" w:type="dxa"/>
            <w:gridSpan w:val="4"/>
            <w:vMerge w:val="restart"/>
            <w:tcBorders>
              <w:top w:val="nil"/>
              <w:left w:val="nil"/>
              <w:bottom w:val="single" w:color="000000" w:sz="4" w:space="0"/>
              <w:right w:val="single" w:color="000000" w:sz="4" w:space="0"/>
            </w:tcBorders>
            <w:shd w:val="clear" w:color="000000" w:fill="C0C0C0"/>
            <w:vAlign w:val="bottom"/>
          </w:tcPr>
          <w:p>
            <w:pPr>
              <w:rPr>
                <w:rFonts w:ascii="宋体" w:hAnsi="宋体" w:eastAsia="宋体" w:cs="Arial"/>
                <w:sz w:val="20"/>
                <w:szCs w:val="20"/>
              </w:rPr>
            </w:pPr>
            <w:r>
              <w:rPr>
                <w:rFonts w:hint="eastAsia" w:cs="Arial"/>
                <w:sz w:val="20"/>
                <w:szCs w:val="20"/>
              </w:rPr>
              <w:t>项目</w:t>
            </w:r>
          </w:p>
        </w:tc>
        <w:tc>
          <w:tcPr>
            <w:tcW w:w="578" w:type="dxa"/>
            <w:vMerge w:val="restart"/>
            <w:tcBorders>
              <w:top w:val="nil"/>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行次</w:t>
            </w:r>
          </w:p>
        </w:tc>
        <w:tc>
          <w:tcPr>
            <w:tcW w:w="902" w:type="dxa"/>
            <w:gridSpan w:val="2"/>
            <w:vMerge w:val="restart"/>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合计</w:t>
            </w:r>
          </w:p>
        </w:tc>
        <w:tc>
          <w:tcPr>
            <w:tcW w:w="1638" w:type="dxa"/>
            <w:gridSpan w:val="2"/>
            <w:vMerge w:val="restart"/>
            <w:tcBorders>
              <w:top w:val="nil"/>
              <w:left w:val="nil"/>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一般公共预算财政拨款</w:t>
            </w:r>
          </w:p>
        </w:tc>
        <w:tc>
          <w:tcPr>
            <w:tcW w:w="917" w:type="dxa"/>
            <w:gridSpan w:val="2"/>
            <w:vMerge w:val="restart"/>
            <w:tcBorders>
              <w:top w:val="nil"/>
              <w:left w:val="nil"/>
              <w:bottom w:val="single" w:color="000000" w:sz="4" w:space="0"/>
              <w:right w:val="single" w:color="auto"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政府性基金预算财政拨款</w:t>
            </w:r>
          </w:p>
        </w:tc>
        <w:tc>
          <w:tcPr>
            <w:tcW w:w="832" w:type="dxa"/>
            <w:vMerge w:val="restart"/>
            <w:tcBorders>
              <w:top w:val="nil"/>
              <w:left w:val="single" w:color="auto" w:sz="4" w:space="0"/>
              <w:bottom w:val="single" w:color="000000" w:sz="4" w:space="0"/>
              <w:right w:val="single" w:color="000000" w:sz="4" w:space="0"/>
            </w:tcBorders>
            <w:shd w:val="clear" w:color="000000" w:fill="C0C0C0"/>
            <w:vAlign w:val="center"/>
          </w:tcPr>
          <w:p>
            <w:pPr>
              <w:jc w:val="center"/>
              <w:rPr>
                <w:rFonts w:ascii="宋体" w:hAnsi="宋体" w:eastAsia="宋体" w:cs="Arial"/>
                <w:sz w:val="20"/>
                <w:szCs w:val="20"/>
              </w:rPr>
            </w:pPr>
            <w:r>
              <w:rPr>
                <w:rFonts w:hint="eastAsia" w:cs="Arial"/>
                <w:sz w:val="20"/>
                <w:szCs w:val="20"/>
              </w:rPr>
              <w:t>国有资本经营预算财政拨款</w:t>
            </w:r>
          </w:p>
        </w:tc>
      </w:tr>
      <w:tr>
        <w:tblPrEx>
          <w:tblCellMar>
            <w:top w:w="0" w:type="dxa"/>
            <w:left w:w="108" w:type="dxa"/>
            <w:bottom w:w="0" w:type="dxa"/>
            <w:right w:w="108" w:type="dxa"/>
          </w:tblCellMar>
        </w:tblPrEx>
        <w:trPr>
          <w:gridAfter w:val="1"/>
          <w:wAfter w:w="385" w:type="dxa"/>
          <w:trHeight w:val="600" w:hRule="atLeast"/>
        </w:trPr>
        <w:tc>
          <w:tcPr>
            <w:tcW w:w="3280" w:type="dxa"/>
            <w:vMerge w:val="continue"/>
            <w:tcBorders>
              <w:top w:val="nil"/>
              <w:left w:val="single" w:color="auto" w:sz="4" w:space="0"/>
              <w:bottom w:val="single" w:color="000000" w:sz="4" w:space="0"/>
              <w:right w:val="single" w:color="000000" w:sz="4" w:space="0"/>
            </w:tcBorders>
            <w:vAlign w:val="center"/>
          </w:tcPr>
          <w:p>
            <w:pPr>
              <w:rPr>
                <w:rFonts w:ascii="宋体" w:hAnsi="宋体" w:eastAsia="宋体" w:cs="Arial"/>
                <w:sz w:val="20"/>
                <w:szCs w:val="20"/>
              </w:rPr>
            </w:pPr>
          </w:p>
        </w:tc>
        <w:tc>
          <w:tcPr>
            <w:tcW w:w="580" w:type="dxa"/>
            <w:gridSpan w:val="2"/>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680" w:type="dxa"/>
            <w:gridSpan w:val="2"/>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4733" w:type="dxa"/>
            <w:gridSpan w:val="4"/>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78"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902" w:type="dxa"/>
            <w:gridSpan w:val="2"/>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638" w:type="dxa"/>
            <w:gridSpan w:val="2"/>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917" w:type="dxa"/>
            <w:gridSpan w:val="2"/>
            <w:vMerge w:val="continue"/>
            <w:tcBorders>
              <w:top w:val="nil"/>
              <w:left w:val="nil"/>
              <w:bottom w:val="single" w:color="000000" w:sz="4" w:space="0"/>
              <w:right w:val="single" w:color="auto" w:sz="4" w:space="0"/>
            </w:tcBorders>
            <w:vAlign w:val="center"/>
          </w:tcPr>
          <w:p>
            <w:pPr>
              <w:rPr>
                <w:rFonts w:ascii="宋体" w:hAnsi="宋体" w:eastAsia="宋体" w:cs="Arial"/>
                <w:sz w:val="20"/>
                <w:szCs w:val="20"/>
              </w:rPr>
            </w:pPr>
          </w:p>
        </w:tc>
        <w:tc>
          <w:tcPr>
            <w:tcW w:w="832" w:type="dxa"/>
            <w:vMerge w:val="continue"/>
            <w:tcBorders>
              <w:top w:val="nil"/>
              <w:left w:val="single" w:color="auto" w:sz="4" w:space="0"/>
              <w:bottom w:val="single" w:color="000000" w:sz="4" w:space="0"/>
              <w:right w:val="single" w:color="000000"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auto" w:sz="4" w:space="0"/>
              <w:bottom w:val="single" w:color="auto"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栏次</w:t>
            </w:r>
          </w:p>
        </w:tc>
        <w:tc>
          <w:tcPr>
            <w:tcW w:w="580" w:type="dxa"/>
            <w:gridSpan w:val="2"/>
            <w:tcBorders>
              <w:top w:val="nil"/>
              <w:left w:val="nil"/>
              <w:bottom w:val="single" w:color="auto"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　</w:t>
            </w:r>
          </w:p>
        </w:tc>
        <w:tc>
          <w:tcPr>
            <w:tcW w:w="1680" w:type="dxa"/>
            <w:gridSpan w:val="2"/>
            <w:tcBorders>
              <w:top w:val="nil"/>
              <w:left w:val="nil"/>
              <w:bottom w:val="single" w:color="auto"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w:t>
            </w:r>
          </w:p>
        </w:tc>
        <w:tc>
          <w:tcPr>
            <w:tcW w:w="4733" w:type="dxa"/>
            <w:gridSpan w:val="4"/>
            <w:tcBorders>
              <w:top w:val="nil"/>
              <w:left w:val="nil"/>
              <w:bottom w:val="single" w:color="auto" w:sz="4" w:space="0"/>
              <w:right w:val="single" w:color="000000" w:sz="4" w:space="0"/>
            </w:tcBorders>
            <w:shd w:val="clear" w:color="000000" w:fill="C0C0C0"/>
            <w:noWrap/>
            <w:vAlign w:val="bottom"/>
          </w:tcPr>
          <w:p>
            <w:pPr>
              <w:rPr>
                <w:rFonts w:ascii="宋体" w:hAnsi="宋体" w:eastAsia="宋体" w:cs="Arial"/>
                <w:sz w:val="20"/>
                <w:szCs w:val="20"/>
              </w:rPr>
            </w:pPr>
            <w:r>
              <w:rPr>
                <w:rFonts w:hint="eastAsia" w:cs="Arial"/>
                <w:sz w:val="20"/>
                <w:szCs w:val="20"/>
              </w:rPr>
              <w:t>栏次</w:t>
            </w:r>
          </w:p>
        </w:tc>
        <w:tc>
          <w:tcPr>
            <w:tcW w:w="578" w:type="dxa"/>
            <w:tcBorders>
              <w:top w:val="nil"/>
              <w:left w:val="nil"/>
              <w:bottom w:val="single" w:color="auto"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　</w:t>
            </w:r>
          </w:p>
        </w:tc>
        <w:tc>
          <w:tcPr>
            <w:tcW w:w="902" w:type="dxa"/>
            <w:gridSpan w:val="2"/>
            <w:tcBorders>
              <w:top w:val="nil"/>
              <w:left w:val="nil"/>
              <w:bottom w:val="single" w:color="auto"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w:t>
            </w:r>
          </w:p>
        </w:tc>
        <w:tc>
          <w:tcPr>
            <w:tcW w:w="1638" w:type="dxa"/>
            <w:gridSpan w:val="2"/>
            <w:tcBorders>
              <w:top w:val="nil"/>
              <w:left w:val="nil"/>
              <w:bottom w:val="single" w:color="auto"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w:t>
            </w:r>
          </w:p>
        </w:tc>
        <w:tc>
          <w:tcPr>
            <w:tcW w:w="917" w:type="dxa"/>
            <w:gridSpan w:val="2"/>
            <w:tcBorders>
              <w:top w:val="nil"/>
              <w:left w:val="nil"/>
              <w:bottom w:val="single" w:color="auto" w:sz="4" w:space="0"/>
              <w:right w:val="single" w:color="auto"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w:t>
            </w:r>
          </w:p>
        </w:tc>
        <w:tc>
          <w:tcPr>
            <w:tcW w:w="832" w:type="dxa"/>
            <w:tcBorders>
              <w:top w:val="nil"/>
              <w:left w:val="single" w:color="auto" w:sz="4" w:space="0"/>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w:t>
            </w:r>
          </w:p>
        </w:tc>
      </w:tr>
      <w:tr>
        <w:tblPrEx>
          <w:tblCellMar>
            <w:top w:w="0" w:type="dxa"/>
            <w:left w:w="108" w:type="dxa"/>
            <w:bottom w:w="0" w:type="dxa"/>
            <w:right w:w="108" w:type="dxa"/>
          </w:tblCellMar>
        </w:tblPrEx>
        <w:trPr>
          <w:gridAfter w:val="1"/>
          <w:wAfter w:w="385" w:type="dxa"/>
          <w:trHeight w:val="372" w:hRule="atLeast"/>
        </w:trPr>
        <w:tc>
          <w:tcPr>
            <w:tcW w:w="3280" w:type="dxa"/>
            <w:tcBorders>
              <w:top w:val="single" w:color="auto" w:sz="4" w:space="0"/>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一、一般公共预算财政拨款</w:t>
            </w:r>
          </w:p>
        </w:tc>
        <w:tc>
          <w:tcPr>
            <w:tcW w:w="580" w:type="dxa"/>
            <w:gridSpan w:val="2"/>
            <w:tcBorders>
              <w:top w:val="single" w:color="auto" w:sz="4" w:space="0"/>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w:t>
            </w:r>
          </w:p>
        </w:tc>
        <w:tc>
          <w:tcPr>
            <w:tcW w:w="1680" w:type="dxa"/>
            <w:gridSpan w:val="2"/>
            <w:tcBorders>
              <w:top w:val="single" w:color="auto" w:sz="4" w:space="0"/>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392.44</w:t>
            </w:r>
          </w:p>
        </w:tc>
        <w:tc>
          <w:tcPr>
            <w:tcW w:w="4733" w:type="dxa"/>
            <w:gridSpan w:val="4"/>
            <w:tcBorders>
              <w:top w:val="single" w:color="auto" w:sz="4" w:space="0"/>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一、一般公共服务支出</w:t>
            </w:r>
          </w:p>
        </w:tc>
        <w:tc>
          <w:tcPr>
            <w:tcW w:w="578" w:type="dxa"/>
            <w:tcBorders>
              <w:top w:val="single" w:color="auto" w:sz="4" w:space="0"/>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33</w:t>
            </w:r>
          </w:p>
        </w:tc>
        <w:tc>
          <w:tcPr>
            <w:tcW w:w="902" w:type="dxa"/>
            <w:gridSpan w:val="2"/>
            <w:tcBorders>
              <w:top w:val="single" w:color="auto" w:sz="4" w:space="0"/>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single" w:color="auto" w:sz="4" w:space="0"/>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single" w:color="auto" w:sz="4" w:space="0"/>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二、政府性基金预算财政拨款</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二、外交支出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34</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三、国有资本经营财政拨款</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三、国防支出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35</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四、公共安全支出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36</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五、教育支出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37</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6</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六、科学技术支出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38</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7</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七、文化旅游体育与传媒支出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39</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8</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八、社会保障和就业支出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40</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43.17</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43.17</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9</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九、卫生健康支出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41</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10</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十、节能环保支出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42</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11</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十一、城乡社区支出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43</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12</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十二、农林水支出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44</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13</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十三、交通运输支出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45</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14</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十四、资源勘探工业信息等支出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46</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70.40</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70.40</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15</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十五、商业服务业等支出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47</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16</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十六、金融支出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48</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17</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十七、援助其他地区支出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49</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18</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十八、自然资源海洋气象等支出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50</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218.77</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218.77</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19</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十九、住房保障支出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51</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81.50</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81.50</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20</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二十、粮油物资储备支出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52</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21</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二十一、国有资本经营预算支出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53</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22</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二十二、灾害防治及应急管理支出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54</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23</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二十三、其他支出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55</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jc w:val="center"/>
              <w:rPr>
                <w:rFonts w:ascii="宋体" w:hAnsi="宋体" w:eastAsia="宋体" w:cs="Arial"/>
                <w:b/>
                <w:bCs/>
                <w:sz w:val="20"/>
                <w:szCs w:val="20"/>
              </w:rPr>
            </w:pPr>
            <w:r>
              <w:rPr>
                <w:rFonts w:hint="eastAsia" w:cs="Arial"/>
                <w:b/>
                <w:bCs/>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24</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二十四、债务还本支出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56</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25</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二十五、债务付息支出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57</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26</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二十六、抗疫特别国债安排的支出</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58</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jc w:val="center"/>
              <w:rPr>
                <w:rFonts w:ascii="宋体" w:hAnsi="宋体" w:eastAsia="宋体" w:cs="Arial"/>
                <w:b/>
                <w:bCs/>
                <w:sz w:val="20"/>
                <w:szCs w:val="20"/>
              </w:rPr>
            </w:pPr>
            <w:r>
              <w:rPr>
                <w:rFonts w:hint="eastAsia" w:cs="Arial"/>
                <w:b/>
                <w:bCs/>
                <w:sz w:val="20"/>
                <w:szCs w:val="20"/>
              </w:rPr>
              <w:t>本年收入合计</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27</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392.44</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b/>
                <w:bCs/>
                <w:sz w:val="20"/>
                <w:szCs w:val="20"/>
              </w:rPr>
            </w:pPr>
            <w:r>
              <w:rPr>
                <w:rFonts w:hint="eastAsia" w:cs="Arial"/>
                <w:b/>
                <w:bCs/>
                <w:sz w:val="20"/>
                <w:szCs w:val="20"/>
              </w:rPr>
              <w:t>本年支出合计</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59</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413.84</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413.84</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年初财政拨款结转和结余</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28</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21.40</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年末财政拨款结转和结余</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60</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一般公共预算财政拨款</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29</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21.40</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61</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政府性基金预算财政拨款</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30</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62</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国有资本经营预算财政拨款</w:t>
            </w:r>
          </w:p>
        </w:tc>
        <w:tc>
          <w:tcPr>
            <w:tcW w:w="580" w:type="dxa"/>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31</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63</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gridAfter w:val="1"/>
          <w:wAfter w:w="385" w:type="dxa"/>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总计</w:t>
            </w:r>
          </w:p>
        </w:tc>
        <w:tc>
          <w:tcPr>
            <w:tcW w:w="580" w:type="dxa"/>
            <w:gridSpan w:val="2"/>
            <w:tcBorders>
              <w:top w:val="nil"/>
              <w:left w:val="nil"/>
              <w:bottom w:val="single" w:color="000000" w:sz="12"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32</w:t>
            </w:r>
          </w:p>
        </w:tc>
        <w:tc>
          <w:tcPr>
            <w:tcW w:w="168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413.84</w:t>
            </w:r>
          </w:p>
        </w:tc>
        <w:tc>
          <w:tcPr>
            <w:tcW w:w="4733" w:type="dxa"/>
            <w:gridSpan w:val="4"/>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总计</w:t>
            </w:r>
          </w:p>
        </w:tc>
        <w:tc>
          <w:tcPr>
            <w:tcW w:w="578"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64</w:t>
            </w:r>
          </w:p>
        </w:tc>
        <w:tc>
          <w:tcPr>
            <w:tcW w:w="90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413.84</w:t>
            </w:r>
          </w:p>
        </w:tc>
        <w:tc>
          <w:tcPr>
            <w:tcW w:w="16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413.84</w:t>
            </w:r>
          </w:p>
        </w:tc>
        <w:tc>
          <w:tcPr>
            <w:tcW w:w="917"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8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trHeight w:val="585" w:hRule="atLeast"/>
        </w:trPr>
        <w:tc>
          <w:tcPr>
            <w:tcW w:w="15525" w:type="dxa"/>
            <w:gridSpan w:val="1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ind w:firstLine="800" w:firstLineChars="400"/>
        <w:jc w:val="left"/>
        <w:rPr>
          <w:rFonts w:ascii="Times New Roman" w:hAnsi="Times New Roman" w:eastAsia="仿宋_GB2312" w:cs="Times New Roman"/>
          <w:color w:val="000000"/>
          <w:kern w:val="0"/>
          <w:szCs w:val="21"/>
        </w:rPr>
      </w:pPr>
      <w:r>
        <w:rPr>
          <w:rFonts w:hint="eastAsia" w:ascii="Times New Roman" w:hAnsi="Times New Roman" w:eastAsia="宋体" w:cs="Times New Roman"/>
          <w:color w:val="000000"/>
          <w:kern w:val="0"/>
          <w:sz w:val="20"/>
          <w:szCs w:val="20"/>
        </w:rPr>
        <w:t>公开05表</w:t>
      </w:r>
    </w:p>
    <w:tbl>
      <w:tblPr>
        <w:tblStyle w:val="5"/>
        <w:tblpPr w:leftFromText="180" w:rightFromText="180" w:vertAnchor="text" w:horzAnchor="page" w:tblpX="1011" w:tblpY="388"/>
        <w:tblOverlap w:val="never"/>
        <w:tblW w:w="14311" w:type="dxa"/>
        <w:tblInd w:w="0" w:type="dxa"/>
        <w:tblLayout w:type="fixed"/>
        <w:tblCellMar>
          <w:top w:w="0" w:type="dxa"/>
          <w:left w:w="108" w:type="dxa"/>
          <w:bottom w:w="0" w:type="dxa"/>
          <w:right w:w="108" w:type="dxa"/>
        </w:tblCellMar>
      </w:tblPr>
      <w:tblGrid>
        <w:gridCol w:w="1020"/>
        <w:gridCol w:w="3920"/>
        <w:gridCol w:w="3911"/>
        <w:gridCol w:w="2085"/>
        <w:gridCol w:w="3375"/>
      </w:tblGrid>
      <w:tr>
        <w:tblPrEx>
          <w:tblCellMar>
            <w:top w:w="0" w:type="dxa"/>
            <w:left w:w="108" w:type="dxa"/>
            <w:bottom w:w="0" w:type="dxa"/>
            <w:right w:w="108"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9371"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tblPrEx>
          <w:tblCellMar>
            <w:top w:w="0" w:type="dxa"/>
            <w:left w:w="108" w:type="dxa"/>
            <w:bottom w:w="0" w:type="dxa"/>
            <w:right w:w="108" w:type="dxa"/>
          </w:tblCellMar>
        </w:tblPrEx>
        <w:trPr>
          <w:trHeight w:val="312" w:hRule="atLeast"/>
        </w:trPr>
        <w:tc>
          <w:tcPr>
            <w:tcW w:w="1020"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920"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3911"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085"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3375"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tblPrEx>
          <w:tblCellMar>
            <w:top w:w="0" w:type="dxa"/>
            <w:left w:w="108" w:type="dxa"/>
            <w:bottom w:w="0" w:type="dxa"/>
            <w:right w:w="108" w:type="dxa"/>
          </w:tblCellMar>
        </w:tblPrEx>
        <w:trPr>
          <w:trHeight w:val="312" w:hRule="atLeast"/>
        </w:trPr>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1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08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37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1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08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37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3911"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085"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3375"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tblPrEx>
          <w:tblCellMar>
            <w:top w:w="0" w:type="dxa"/>
            <w:left w:w="108" w:type="dxa"/>
            <w:bottom w:w="0" w:type="dxa"/>
            <w:right w:w="108"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3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413.84</w:t>
            </w:r>
          </w:p>
        </w:tc>
        <w:tc>
          <w:tcPr>
            <w:tcW w:w="2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413.84</w:t>
            </w:r>
          </w:p>
        </w:tc>
        <w:tc>
          <w:tcPr>
            <w:tcW w:w="3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w:t>
            </w:r>
          </w:p>
        </w:tc>
        <w:tc>
          <w:tcPr>
            <w:tcW w:w="39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社会保障和就业支出</w:t>
            </w:r>
          </w:p>
        </w:tc>
        <w:tc>
          <w:tcPr>
            <w:tcW w:w="391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43.17</w:t>
            </w:r>
          </w:p>
        </w:tc>
        <w:tc>
          <w:tcPr>
            <w:tcW w:w="208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43.17</w:t>
            </w:r>
          </w:p>
        </w:tc>
        <w:tc>
          <w:tcPr>
            <w:tcW w:w="337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20805</w:t>
            </w:r>
          </w:p>
        </w:tc>
        <w:tc>
          <w:tcPr>
            <w:tcW w:w="39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行政事业单位养老支出</w:t>
            </w:r>
          </w:p>
        </w:tc>
        <w:tc>
          <w:tcPr>
            <w:tcW w:w="391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43.17</w:t>
            </w:r>
          </w:p>
        </w:tc>
        <w:tc>
          <w:tcPr>
            <w:tcW w:w="208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43.17</w:t>
            </w:r>
          </w:p>
        </w:tc>
        <w:tc>
          <w:tcPr>
            <w:tcW w:w="337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2080505</w:t>
            </w:r>
          </w:p>
        </w:tc>
        <w:tc>
          <w:tcPr>
            <w:tcW w:w="392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机关事业单位基本养老保险缴费支出</w:t>
            </w:r>
          </w:p>
        </w:tc>
        <w:tc>
          <w:tcPr>
            <w:tcW w:w="3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43.17</w:t>
            </w:r>
          </w:p>
        </w:tc>
        <w:tc>
          <w:tcPr>
            <w:tcW w:w="2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43.17</w:t>
            </w:r>
          </w:p>
        </w:tc>
        <w:tc>
          <w:tcPr>
            <w:tcW w:w="3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w:t>
            </w:r>
          </w:p>
        </w:tc>
        <w:tc>
          <w:tcPr>
            <w:tcW w:w="39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资源勘探工业信息等支出</w:t>
            </w:r>
          </w:p>
        </w:tc>
        <w:tc>
          <w:tcPr>
            <w:tcW w:w="391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70.40</w:t>
            </w:r>
          </w:p>
        </w:tc>
        <w:tc>
          <w:tcPr>
            <w:tcW w:w="208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70.40</w:t>
            </w:r>
          </w:p>
        </w:tc>
        <w:tc>
          <w:tcPr>
            <w:tcW w:w="337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21501</w:t>
            </w:r>
          </w:p>
        </w:tc>
        <w:tc>
          <w:tcPr>
            <w:tcW w:w="39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资源勘探开发</w:t>
            </w:r>
          </w:p>
        </w:tc>
        <w:tc>
          <w:tcPr>
            <w:tcW w:w="391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70.40</w:t>
            </w:r>
          </w:p>
        </w:tc>
        <w:tc>
          <w:tcPr>
            <w:tcW w:w="208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70.40</w:t>
            </w:r>
          </w:p>
        </w:tc>
        <w:tc>
          <w:tcPr>
            <w:tcW w:w="337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2150199</w:t>
            </w:r>
          </w:p>
        </w:tc>
        <w:tc>
          <w:tcPr>
            <w:tcW w:w="392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其他资源勘探业支出</w:t>
            </w:r>
          </w:p>
        </w:tc>
        <w:tc>
          <w:tcPr>
            <w:tcW w:w="3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70.40</w:t>
            </w:r>
          </w:p>
        </w:tc>
        <w:tc>
          <w:tcPr>
            <w:tcW w:w="2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70.40</w:t>
            </w:r>
          </w:p>
        </w:tc>
        <w:tc>
          <w:tcPr>
            <w:tcW w:w="3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220</w:t>
            </w:r>
          </w:p>
        </w:tc>
        <w:tc>
          <w:tcPr>
            <w:tcW w:w="39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自然资源海洋气象等支出</w:t>
            </w:r>
          </w:p>
        </w:tc>
        <w:tc>
          <w:tcPr>
            <w:tcW w:w="391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218.77</w:t>
            </w:r>
          </w:p>
        </w:tc>
        <w:tc>
          <w:tcPr>
            <w:tcW w:w="208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218.77</w:t>
            </w:r>
          </w:p>
        </w:tc>
        <w:tc>
          <w:tcPr>
            <w:tcW w:w="337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22001</w:t>
            </w:r>
          </w:p>
        </w:tc>
        <w:tc>
          <w:tcPr>
            <w:tcW w:w="39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自然资源事务</w:t>
            </w:r>
          </w:p>
        </w:tc>
        <w:tc>
          <w:tcPr>
            <w:tcW w:w="391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218.77</w:t>
            </w:r>
          </w:p>
        </w:tc>
        <w:tc>
          <w:tcPr>
            <w:tcW w:w="208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218.77</w:t>
            </w:r>
          </w:p>
        </w:tc>
        <w:tc>
          <w:tcPr>
            <w:tcW w:w="337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2200150</w:t>
            </w:r>
          </w:p>
        </w:tc>
        <w:tc>
          <w:tcPr>
            <w:tcW w:w="392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事业运行</w:t>
            </w:r>
          </w:p>
        </w:tc>
        <w:tc>
          <w:tcPr>
            <w:tcW w:w="3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218.77</w:t>
            </w:r>
          </w:p>
        </w:tc>
        <w:tc>
          <w:tcPr>
            <w:tcW w:w="2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218.77</w:t>
            </w:r>
          </w:p>
        </w:tc>
        <w:tc>
          <w:tcPr>
            <w:tcW w:w="3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9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w:t>
            </w:r>
          </w:p>
        </w:tc>
        <w:tc>
          <w:tcPr>
            <w:tcW w:w="39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住房保障支出</w:t>
            </w:r>
          </w:p>
        </w:tc>
        <w:tc>
          <w:tcPr>
            <w:tcW w:w="391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81.50</w:t>
            </w:r>
          </w:p>
        </w:tc>
        <w:tc>
          <w:tcPr>
            <w:tcW w:w="208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81.50</w:t>
            </w:r>
          </w:p>
        </w:tc>
        <w:tc>
          <w:tcPr>
            <w:tcW w:w="337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22102</w:t>
            </w:r>
          </w:p>
        </w:tc>
        <w:tc>
          <w:tcPr>
            <w:tcW w:w="39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住房改革支出</w:t>
            </w:r>
          </w:p>
        </w:tc>
        <w:tc>
          <w:tcPr>
            <w:tcW w:w="391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81.50</w:t>
            </w:r>
          </w:p>
        </w:tc>
        <w:tc>
          <w:tcPr>
            <w:tcW w:w="208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81.50</w:t>
            </w:r>
          </w:p>
        </w:tc>
        <w:tc>
          <w:tcPr>
            <w:tcW w:w="337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2210201</w:t>
            </w:r>
          </w:p>
        </w:tc>
        <w:tc>
          <w:tcPr>
            <w:tcW w:w="392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3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64.10</w:t>
            </w:r>
          </w:p>
        </w:tc>
        <w:tc>
          <w:tcPr>
            <w:tcW w:w="2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64.10</w:t>
            </w:r>
          </w:p>
        </w:tc>
        <w:tc>
          <w:tcPr>
            <w:tcW w:w="3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2210203</w:t>
            </w:r>
          </w:p>
        </w:tc>
        <w:tc>
          <w:tcPr>
            <w:tcW w:w="392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购房补贴</w:t>
            </w:r>
          </w:p>
        </w:tc>
        <w:tc>
          <w:tcPr>
            <w:tcW w:w="3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17.40</w:t>
            </w:r>
          </w:p>
        </w:tc>
        <w:tc>
          <w:tcPr>
            <w:tcW w:w="2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17.40</w:t>
            </w:r>
          </w:p>
        </w:tc>
        <w:tc>
          <w:tcPr>
            <w:tcW w:w="3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bl>
    <w:p>
      <w:pPr>
        <w:widowControl/>
        <w:jc w:val="lef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部门：湖南省核工业地质局探矿技术研究所单位：万元</w:t>
      </w:r>
    </w:p>
    <w:tbl>
      <w:tblPr>
        <w:tblStyle w:val="5"/>
        <w:tblW w:w="14219" w:type="dxa"/>
        <w:jc w:val="center"/>
        <w:tblLayout w:type="autofit"/>
        <w:tblCellMar>
          <w:top w:w="0" w:type="dxa"/>
          <w:left w:w="108" w:type="dxa"/>
          <w:bottom w:w="0" w:type="dxa"/>
          <w:right w:w="108" w:type="dxa"/>
        </w:tblCellMar>
      </w:tblPr>
      <w:tblGrid>
        <w:gridCol w:w="14219"/>
      </w:tblGrid>
      <w:tr>
        <w:tblPrEx>
          <w:tblCellMar>
            <w:top w:w="0" w:type="dxa"/>
            <w:left w:w="108" w:type="dxa"/>
            <w:bottom w:w="0" w:type="dxa"/>
            <w:right w:w="108" w:type="dxa"/>
          </w:tblCellMar>
        </w:tblPrEx>
        <w:trPr>
          <w:trHeight w:val="645" w:hRule="atLeast"/>
          <w:jc w:val="center"/>
        </w:trPr>
        <w:tc>
          <w:tcPr>
            <w:tcW w:w="14219" w:type="dxa"/>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宋体" w:hAnsi="宋体" w:eastAsia="宋体" w:cs="宋体"/>
                <w:kern w:val="0"/>
                <w:sz w:val="24"/>
                <w:szCs w:val="24"/>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338"/>
        <w:gridCol w:w="3366"/>
        <w:gridCol w:w="1004"/>
        <w:gridCol w:w="972"/>
        <w:gridCol w:w="2316"/>
        <w:gridCol w:w="636"/>
        <w:gridCol w:w="972"/>
        <w:gridCol w:w="4206"/>
        <w:gridCol w:w="804"/>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Times New Roman" w:hAnsi="Times New Roman" w:eastAsia="方正小标宋_GBK" w:cs="Times New Roman"/>
                <w:kern w:val="0"/>
                <w:sz w:val="36"/>
                <w:szCs w:val="36"/>
              </w:rPr>
            </w:pPr>
            <w:bookmarkStart w:id="2" w:name="RANGE!A1:I34"/>
            <w:r>
              <w:rPr>
                <w:rFonts w:hint="eastAsia" w:ascii="Times New Roman" w:hAnsi="Times New Roman" w:eastAsia="方正小标宋_GBK" w:cs="Times New Roman"/>
                <w:kern w:val="0"/>
                <w:sz w:val="36"/>
                <w:szCs w:val="36"/>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公开06表</w:t>
            </w:r>
          </w:p>
          <w:p>
            <w:pPr>
              <w:widowControl/>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部门：湖南省核工业地质局探矿技术研究所单位：万元</w:t>
            </w:r>
          </w:p>
        </w:tc>
      </w:tr>
      <w:tr>
        <w:tblPrEx>
          <w:tblCellMar>
            <w:top w:w="0" w:type="dxa"/>
            <w:left w:w="108" w:type="dxa"/>
            <w:bottom w:w="0" w:type="dxa"/>
            <w:right w:w="108" w:type="dxa"/>
          </w:tblCellMar>
        </w:tblPrEx>
        <w:trPr>
          <w:trHeight w:val="761"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95"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394.62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1.82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16.65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43.17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64.1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17.4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412.02</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1.82</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14070" w:firstLineChars="6700"/>
        <w:jc w:val="left"/>
        <w:rPr>
          <w:rFonts w:ascii="Times New Roman" w:hAnsi="Times New Roman" w:eastAsia="仿宋_GB2312" w:cs="Times New Roman"/>
          <w:color w:val="000000"/>
          <w:kern w:val="0"/>
          <w:szCs w:val="21"/>
        </w:rPr>
      </w:pPr>
    </w:p>
    <w:p>
      <w:pPr>
        <w:widowControl/>
        <w:ind w:firstLine="14070" w:firstLineChars="6700"/>
        <w:jc w:val="left"/>
        <w:rPr>
          <w:rFonts w:ascii="Times New Roman" w:hAnsi="Times New Roman" w:eastAsia="仿宋_GB2312" w:cs="Times New Roman"/>
          <w:color w:val="000000"/>
          <w:kern w:val="0"/>
          <w:szCs w:val="21"/>
        </w:rPr>
      </w:pPr>
    </w:p>
    <w:p>
      <w:pPr>
        <w:widowControl/>
        <w:ind w:firstLine="14070" w:firstLineChars="67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firstLine="420" w:firstLineChars="2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部门：湖南省核工业地质局探矿技术研究所</w:t>
      </w: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13860" w:firstLineChars="660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公开08表</w:t>
      </w:r>
    </w:p>
    <w:p>
      <w:pPr>
        <w:widowControl/>
        <w:ind w:firstLine="420" w:firstLineChars="2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部门：湖南省核工业地质局探矿技术研究所</w:t>
      </w: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620"/>
        <w:gridCol w:w="1089"/>
        <w:gridCol w:w="2126"/>
        <w:gridCol w:w="2551"/>
        <w:gridCol w:w="2977"/>
        <w:gridCol w:w="3827"/>
      </w:tblGrid>
      <w:tr>
        <w:tblPrEx>
          <w:tblCellMar>
            <w:top w:w="0" w:type="dxa"/>
            <w:left w:w="108" w:type="dxa"/>
            <w:bottom w:w="0" w:type="dxa"/>
            <w:right w:w="108" w:type="dxa"/>
          </w:tblCellMar>
        </w:tblPrEx>
        <w:trPr>
          <w:trHeight w:val="720" w:hRule="atLeast"/>
        </w:trPr>
        <w:tc>
          <w:tcPr>
            <w:tcW w:w="14190" w:type="dxa"/>
            <w:gridSpan w:val="6"/>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b/>
                <w:bCs/>
                <w:kern w:val="0"/>
                <w:sz w:val="32"/>
                <w:szCs w:val="32"/>
              </w:rPr>
              <w:t>国有资本经营预算财政拨款支出决算表</w:t>
            </w:r>
          </w:p>
        </w:tc>
      </w:tr>
      <w:tr>
        <w:tblPrEx>
          <w:tblCellMar>
            <w:top w:w="0" w:type="dxa"/>
            <w:left w:w="108" w:type="dxa"/>
            <w:bottom w:w="0" w:type="dxa"/>
            <w:right w:w="108" w:type="dxa"/>
          </w:tblCellMar>
        </w:tblPrEx>
        <w:trPr>
          <w:trHeight w:val="330" w:hRule="atLeast"/>
        </w:trPr>
        <w:tc>
          <w:tcPr>
            <w:tcW w:w="14190" w:type="dxa"/>
            <w:gridSpan w:val="6"/>
            <w:tcBorders>
              <w:top w:val="nil"/>
              <w:left w:val="nil"/>
              <w:bottom w:val="nil"/>
              <w:right w:val="nil"/>
            </w:tcBorders>
            <w:shd w:val="clear" w:color="000000" w:fill="FFFFFF"/>
            <w:vAlign w:val="center"/>
          </w:tcPr>
          <w:p>
            <w:pPr>
              <w:widowControl/>
              <w:jc w:val="right"/>
              <w:rPr>
                <w:rFonts w:ascii="华文中宋" w:hAnsi="华文中宋" w:eastAsia="华文中宋" w:cs="宋体"/>
                <w:kern w:val="0"/>
                <w:sz w:val="24"/>
                <w:szCs w:val="24"/>
              </w:rPr>
            </w:pPr>
            <w:r>
              <w:rPr>
                <w:rFonts w:hint="eastAsia" w:ascii="仿宋" w:hAnsi="仿宋" w:eastAsia="仿宋" w:cs="仿宋"/>
                <w:kern w:val="0"/>
                <w:szCs w:val="21"/>
              </w:rPr>
              <w:t>公开09表</w:t>
            </w:r>
          </w:p>
        </w:tc>
      </w:tr>
      <w:tr>
        <w:tblPrEx>
          <w:tblCellMar>
            <w:top w:w="0" w:type="dxa"/>
            <w:left w:w="108" w:type="dxa"/>
            <w:bottom w:w="0" w:type="dxa"/>
            <w:right w:w="108" w:type="dxa"/>
          </w:tblCellMar>
        </w:tblPrEx>
        <w:trPr>
          <w:trHeight w:val="404" w:hRule="atLeast"/>
        </w:trPr>
        <w:tc>
          <w:tcPr>
            <w:tcW w:w="14190" w:type="dxa"/>
            <w:gridSpan w:val="6"/>
            <w:tcBorders>
              <w:top w:val="nil"/>
              <w:left w:val="nil"/>
              <w:bottom w:val="single" w:color="auto" w:sz="4" w:space="0"/>
              <w:right w:val="nil"/>
            </w:tcBorders>
            <w:shd w:val="clear" w:color="000000" w:fill="FFFFFF"/>
            <w:vAlign w:val="bottom"/>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部门：湖南省核工业地质局探矿技术研究所</w:t>
            </w:r>
            <w:r>
              <w:rPr>
                <w:rFonts w:ascii="Times New Roman" w:hAnsi="Times New Roman" w:eastAsia="仿宋_GB2312" w:cs="Times New Roman"/>
                <w:color w:val="000000"/>
                <w:kern w:val="0"/>
                <w:szCs w:val="21"/>
              </w:rPr>
              <w:t>单位：万元</w:t>
            </w:r>
          </w:p>
          <w:p>
            <w:pPr>
              <w:widowControl/>
              <w:jc w:val="center"/>
              <w:rPr>
                <w:rFonts w:ascii="华文中宋" w:hAnsi="华文中宋" w:eastAsia="华文中宋"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科目名称</w:t>
            </w:r>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3"/>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6"/>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0"/>
        <w:rPr>
          <w:sz w:val="72"/>
          <w:szCs w:val="72"/>
        </w:rPr>
        <w:sectPr>
          <w:pgSz w:w="16838" w:h="11906" w:orient="landscape"/>
          <w:pgMar w:top="550" w:right="720" w:bottom="550" w:left="720" w:header="851" w:footer="992" w:gutter="0"/>
          <w:cols w:space="425" w:num="1"/>
          <w:docGrid w:type="lines" w:linePitch="312" w:charSpace="0"/>
        </w:sect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2"/>
          <w:szCs w:val="72"/>
        </w:rPr>
      </w:pPr>
    </w:p>
    <w:p>
      <w:pPr>
        <w:pStyle w:val="10"/>
        <w:jc w:val="center"/>
        <w:rPr>
          <w:sz w:val="70"/>
          <w:szCs w:val="70"/>
        </w:rPr>
      </w:pPr>
      <w:r>
        <w:rPr>
          <w:sz w:val="70"/>
          <w:szCs w:val="70"/>
        </w:rPr>
        <w:t>20</w:t>
      </w:r>
      <w:r>
        <w:rPr>
          <w:rFonts w:hint="eastAsia"/>
          <w:sz w:val="70"/>
          <w:szCs w:val="70"/>
        </w:rPr>
        <w:t>20年度部门决算情况说明</w:t>
      </w:r>
    </w:p>
    <w:p>
      <w:pPr>
        <w:pStyle w:val="10"/>
        <w:jc w:val="center"/>
        <w:rPr>
          <w:sz w:val="70"/>
          <w:szCs w:val="70"/>
        </w:rPr>
      </w:pPr>
    </w:p>
    <w:p>
      <w:pPr>
        <w:pStyle w:val="10"/>
        <w:jc w:val="center"/>
        <w:rPr>
          <w:sz w:val="70"/>
          <w:szCs w:val="70"/>
        </w:rPr>
      </w:pPr>
    </w:p>
    <w:p>
      <w:pPr>
        <w:pStyle w:val="10"/>
        <w:jc w:val="center"/>
        <w:rPr>
          <w:sz w:val="70"/>
          <w:szCs w:val="70"/>
        </w:rPr>
      </w:pPr>
    </w:p>
    <w:p>
      <w:pPr>
        <w:pStyle w:val="10"/>
        <w:jc w:val="center"/>
        <w:rPr>
          <w:sz w:val="70"/>
          <w:szCs w:val="70"/>
        </w:rPr>
      </w:pPr>
    </w:p>
    <w:p>
      <w:pPr>
        <w:pStyle w:val="10"/>
        <w:jc w:val="center"/>
        <w:rPr>
          <w:sz w:val="70"/>
          <w:szCs w:val="70"/>
        </w:rPr>
      </w:pPr>
    </w:p>
    <w:p>
      <w:pPr>
        <w:pStyle w:val="10"/>
        <w:jc w:val="center"/>
        <w:rPr>
          <w:sz w:val="70"/>
          <w:szCs w:val="70"/>
        </w:rPr>
      </w:pPr>
    </w:p>
    <w:p>
      <w:pPr>
        <w:pStyle w:val="10"/>
        <w:jc w:val="center"/>
        <w:rPr>
          <w:sz w:val="70"/>
          <w:szCs w:val="70"/>
        </w:rPr>
      </w:pPr>
    </w:p>
    <w:p>
      <w:pPr>
        <w:pStyle w:val="10"/>
        <w:jc w:val="both"/>
        <w:rPr>
          <w:sz w:val="70"/>
          <w:szCs w:val="70"/>
        </w:rPr>
      </w:pPr>
    </w:p>
    <w:p>
      <w:pPr>
        <w:pStyle w:val="10"/>
        <w:jc w:val="both"/>
        <w:rPr>
          <w:sz w:val="70"/>
          <w:szCs w:val="70"/>
        </w:rPr>
      </w:pPr>
    </w:p>
    <w:p>
      <w:pPr>
        <w:widowControl/>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一、收入支出决算总体情况说明</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2020年部门决算本年收入合计</w:t>
      </w:r>
      <w:r>
        <w:rPr>
          <w:rFonts w:hint="eastAsia" w:asciiTheme="minorEastAsia" w:hAnsiTheme="minorEastAsia"/>
          <w:bCs/>
          <w:kern w:val="0"/>
          <w:sz w:val="32"/>
          <w:szCs w:val="32"/>
          <w:lang w:val="en-US" w:eastAsia="zh-CN"/>
        </w:rPr>
        <w:t>361.44</w:t>
      </w:r>
      <w:r>
        <w:rPr>
          <w:rFonts w:hint="eastAsia" w:asciiTheme="minorEastAsia" w:hAnsiTheme="minorEastAsia"/>
          <w:bCs/>
          <w:kern w:val="0"/>
          <w:sz w:val="32"/>
          <w:szCs w:val="32"/>
        </w:rPr>
        <w:t>万元（含上年结转结余</w:t>
      </w:r>
      <w:r>
        <w:rPr>
          <w:rFonts w:hint="eastAsia" w:asciiTheme="minorEastAsia" w:hAnsiTheme="minorEastAsia"/>
          <w:bCs/>
          <w:kern w:val="0"/>
          <w:sz w:val="32"/>
          <w:szCs w:val="32"/>
          <w:lang w:val="en-US" w:eastAsia="zh-CN"/>
        </w:rPr>
        <w:t>-31</w:t>
      </w:r>
      <w:r>
        <w:rPr>
          <w:rFonts w:hint="eastAsia" w:asciiTheme="minorEastAsia" w:hAnsiTheme="minorEastAsia"/>
          <w:bCs/>
          <w:kern w:val="0"/>
          <w:sz w:val="32"/>
          <w:szCs w:val="32"/>
        </w:rPr>
        <w:t>万元），比上年393.49万元减少</w:t>
      </w:r>
      <w:r>
        <w:rPr>
          <w:rFonts w:hint="eastAsia" w:asciiTheme="minorEastAsia" w:hAnsiTheme="minorEastAsia"/>
          <w:bCs/>
          <w:kern w:val="0"/>
          <w:sz w:val="32"/>
          <w:szCs w:val="32"/>
          <w:lang w:val="en-US" w:eastAsia="zh-CN"/>
        </w:rPr>
        <w:t>32.05</w:t>
      </w:r>
      <w:r>
        <w:rPr>
          <w:rFonts w:hint="eastAsia" w:asciiTheme="minorEastAsia" w:hAnsiTheme="minorEastAsia"/>
          <w:bCs/>
          <w:kern w:val="0"/>
          <w:sz w:val="32"/>
          <w:szCs w:val="32"/>
        </w:rPr>
        <w:t>万元，减少</w:t>
      </w:r>
      <w:r>
        <w:rPr>
          <w:rFonts w:hint="eastAsia" w:asciiTheme="minorEastAsia" w:hAnsiTheme="minorEastAsia"/>
          <w:bCs/>
          <w:kern w:val="0"/>
          <w:sz w:val="32"/>
          <w:szCs w:val="32"/>
          <w:lang w:val="en-US" w:eastAsia="zh-CN"/>
        </w:rPr>
        <w:t>8.15</w:t>
      </w:r>
      <w:r>
        <w:rPr>
          <w:rFonts w:hint="eastAsia" w:asciiTheme="minorEastAsia" w:hAnsiTheme="minorEastAsia"/>
          <w:bCs/>
          <w:kern w:val="0"/>
          <w:sz w:val="32"/>
          <w:szCs w:val="32"/>
        </w:rPr>
        <w:t>%；总支出</w:t>
      </w:r>
      <w:r>
        <w:rPr>
          <w:rFonts w:hint="eastAsia" w:asciiTheme="minorEastAsia" w:hAnsiTheme="minorEastAsia"/>
          <w:bCs/>
          <w:kern w:val="0"/>
          <w:sz w:val="32"/>
          <w:szCs w:val="32"/>
          <w:lang w:val="en-US" w:eastAsia="zh-CN"/>
        </w:rPr>
        <w:t>361.44</w:t>
      </w:r>
      <w:r>
        <w:rPr>
          <w:rFonts w:hint="eastAsia" w:asciiTheme="minorEastAsia" w:hAnsiTheme="minorEastAsia"/>
          <w:bCs/>
          <w:kern w:val="0"/>
          <w:sz w:val="32"/>
          <w:szCs w:val="32"/>
        </w:rPr>
        <w:t>万元（</w:t>
      </w:r>
      <w:r>
        <w:rPr>
          <w:rFonts w:hint="eastAsia" w:asciiTheme="minorEastAsia" w:hAnsiTheme="minorEastAsia"/>
          <w:bCs/>
          <w:kern w:val="0"/>
          <w:sz w:val="32"/>
          <w:szCs w:val="32"/>
          <w:lang w:eastAsia="zh-CN"/>
        </w:rPr>
        <w:t>含年末</w:t>
      </w:r>
      <w:r>
        <w:rPr>
          <w:rFonts w:hint="eastAsia" w:asciiTheme="minorEastAsia" w:hAnsiTheme="minorEastAsia"/>
          <w:bCs/>
          <w:kern w:val="0"/>
          <w:sz w:val="32"/>
          <w:szCs w:val="32"/>
        </w:rPr>
        <w:t>结转结余</w:t>
      </w:r>
      <w:r>
        <w:rPr>
          <w:rFonts w:hint="eastAsia" w:asciiTheme="minorEastAsia" w:hAnsiTheme="minorEastAsia"/>
          <w:bCs/>
          <w:kern w:val="0"/>
          <w:sz w:val="32"/>
          <w:szCs w:val="32"/>
          <w:lang w:val="en-US" w:eastAsia="zh-CN"/>
        </w:rPr>
        <w:t>-52.4</w:t>
      </w:r>
      <w:r>
        <w:rPr>
          <w:rFonts w:hint="eastAsia" w:asciiTheme="minorEastAsia" w:hAnsiTheme="minorEastAsia"/>
          <w:bCs/>
          <w:kern w:val="0"/>
          <w:sz w:val="32"/>
          <w:szCs w:val="32"/>
        </w:rPr>
        <w:t>万元），比上年393.49万元减少了</w:t>
      </w:r>
      <w:r>
        <w:rPr>
          <w:rFonts w:hint="eastAsia" w:asciiTheme="minorEastAsia" w:hAnsiTheme="minorEastAsia"/>
          <w:bCs/>
          <w:kern w:val="0"/>
          <w:sz w:val="32"/>
          <w:szCs w:val="32"/>
          <w:lang w:val="en-US" w:eastAsia="zh-CN"/>
        </w:rPr>
        <w:t>32.05</w:t>
      </w:r>
      <w:r>
        <w:rPr>
          <w:rFonts w:hint="eastAsia" w:asciiTheme="minorEastAsia" w:hAnsiTheme="minorEastAsia"/>
          <w:bCs/>
          <w:kern w:val="0"/>
          <w:sz w:val="32"/>
          <w:szCs w:val="32"/>
        </w:rPr>
        <w:t>万元，减少</w:t>
      </w:r>
      <w:r>
        <w:rPr>
          <w:rFonts w:hint="eastAsia" w:asciiTheme="minorEastAsia" w:hAnsiTheme="minorEastAsia"/>
          <w:bCs/>
          <w:kern w:val="0"/>
          <w:sz w:val="32"/>
          <w:szCs w:val="32"/>
          <w:lang w:val="en-US" w:eastAsia="zh-CN"/>
        </w:rPr>
        <w:t>8.15</w:t>
      </w:r>
      <w:r>
        <w:rPr>
          <w:rFonts w:hint="eastAsia" w:asciiTheme="minorEastAsia" w:hAnsiTheme="minorEastAsia"/>
          <w:bCs/>
          <w:kern w:val="0"/>
          <w:sz w:val="32"/>
          <w:szCs w:val="32"/>
        </w:rPr>
        <w:t>%，主要是因为财政拨款减少。</w:t>
      </w:r>
    </w:p>
    <w:p>
      <w:pPr>
        <w:widowControl/>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二、收入决算情况说明</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本年收入合计392.44万元，其中：财政拨款收入392.44万元，占100%。</w:t>
      </w:r>
    </w:p>
    <w:p>
      <w:pPr>
        <w:widowControl/>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三、支出决算情况说明</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本年支出合计413.84万元，其中：基本支出413.84万元，占100%。</w:t>
      </w:r>
    </w:p>
    <w:p>
      <w:pPr>
        <w:widowControl/>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四、财政拨款收入支出决算总体情况说明</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 xml:space="preserve"> </w:t>
      </w:r>
      <w:r>
        <w:rPr>
          <w:rFonts w:hint="eastAsia" w:asciiTheme="minorEastAsia" w:hAnsiTheme="minorEastAsia" w:eastAsiaTheme="minorEastAsia"/>
          <w:color w:val="auto"/>
          <w:sz w:val="32"/>
          <w:szCs w:val="32"/>
        </w:rPr>
        <w:t xml:space="preserve"> 2020年财政拨款收入合计</w:t>
      </w:r>
      <w:r>
        <w:rPr>
          <w:rFonts w:hint="eastAsia" w:asciiTheme="minorEastAsia" w:hAnsiTheme="minorEastAsia"/>
          <w:bCs/>
          <w:kern w:val="0"/>
          <w:sz w:val="32"/>
          <w:szCs w:val="32"/>
          <w:lang w:val="en-US" w:eastAsia="zh-CN"/>
        </w:rPr>
        <w:t>413.84</w:t>
      </w:r>
      <w:r>
        <w:rPr>
          <w:rFonts w:hint="eastAsia" w:asciiTheme="minorEastAsia" w:hAnsiTheme="minorEastAsia"/>
          <w:bCs/>
          <w:kern w:val="0"/>
          <w:sz w:val="32"/>
          <w:szCs w:val="32"/>
        </w:rPr>
        <w:t>万元（含上年结转结余21.4万元），比上年393.49万元</w:t>
      </w:r>
      <w:r>
        <w:rPr>
          <w:rFonts w:hint="eastAsia" w:asciiTheme="minorEastAsia" w:hAnsiTheme="minorEastAsia"/>
          <w:bCs/>
          <w:kern w:val="0"/>
          <w:sz w:val="32"/>
          <w:szCs w:val="32"/>
          <w:lang w:eastAsia="zh-CN"/>
        </w:rPr>
        <w:t>增加</w:t>
      </w:r>
      <w:r>
        <w:rPr>
          <w:rFonts w:hint="eastAsia" w:asciiTheme="minorEastAsia" w:hAnsiTheme="minorEastAsia"/>
          <w:bCs/>
          <w:kern w:val="0"/>
          <w:sz w:val="32"/>
          <w:szCs w:val="32"/>
          <w:lang w:val="en-US" w:eastAsia="zh-CN"/>
        </w:rPr>
        <w:t>20.35</w:t>
      </w:r>
      <w:r>
        <w:rPr>
          <w:rFonts w:hint="eastAsia" w:asciiTheme="minorEastAsia" w:hAnsiTheme="minorEastAsia"/>
          <w:bCs/>
          <w:kern w:val="0"/>
          <w:sz w:val="32"/>
          <w:szCs w:val="32"/>
        </w:rPr>
        <w:t>万元，</w:t>
      </w:r>
      <w:r>
        <w:rPr>
          <w:rFonts w:hint="eastAsia" w:asciiTheme="minorEastAsia" w:hAnsiTheme="minorEastAsia"/>
          <w:bCs/>
          <w:kern w:val="0"/>
          <w:sz w:val="32"/>
          <w:szCs w:val="32"/>
          <w:lang w:eastAsia="zh-CN"/>
        </w:rPr>
        <w:t>增加</w:t>
      </w:r>
      <w:r>
        <w:rPr>
          <w:rFonts w:hint="eastAsia" w:asciiTheme="minorEastAsia" w:hAnsiTheme="minorEastAsia"/>
          <w:bCs/>
          <w:kern w:val="0"/>
          <w:sz w:val="32"/>
          <w:szCs w:val="32"/>
          <w:lang w:val="en-US" w:eastAsia="zh-CN"/>
        </w:rPr>
        <w:t>5.17</w:t>
      </w:r>
      <w:r>
        <w:rPr>
          <w:rFonts w:hint="eastAsia" w:asciiTheme="minorEastAsia" w:hAnsiTheme="minorEastAsia"/>
          <w:bCs/>
          <w:kern w:val="0"/>
          <w:sz w:val="32"/>
          <w:szCs w:val="32"/>
        </w:rPr>
        <w:t>%；总支出413.84万元，比</w:t>
      </w:r>
      <w:r>
        <w:rPr>
          <w:rFonts w:hint="eastAsia" w:asciiTheme="minorEastAsia" w:hAnsiTheme="minorEastAsia"/>
          <w:bCs/>
          <w:color w:val="auto"/>
          <w:kern w:val="0"/>
          <w:sz w:val="32"/>
          <w:szCs w:val="32"/>
        </w:rPr>
        <w:t>上年393.49万元</w:t>
      </w:r>
      <w:r>
        <w:rPr>
          <w:rFonts w:hint="eastAsia" w:asciiTheme="minorEastAsia" w:hAnsiTheme="minorEastAsia"/>
          <w:bCs/>
          <w:kern w:val="0"/>
          <w:sz w:val="32"/>
          <w:szCs w:val="32"/>
          <w:lang w:eastAsia="zh-CN"/>
        </w:rPr>
        <w:t>增加</w:t>
      </w:r>
      <w:r>
        <w:rPr>
          <w:rFonts w:hint="eastAsia" w:asciiTheme="minorEastAsia" w:hAnsiTheme="minorEastAsia"/>
          <w:bCs/>
          <w:kern w:val="0"/>
          <w:sz w:val="32"/>
          <w:szCs w:val="32"/>
          <w:lang w:val="en-US" w:eastAsia="zh-CN"/>
        </w:rPr>
        <w:t>20.35</w:t>
      </w:r>
      <w:r>
        <w:rPr>
          <w:rFonts w:hint="eastAsia" w:asciiTheme="minorEastAsia" w:hAnsiTheme="minorEastAsia"/>
          <w:bCs/>
          <w:kern w:val="0"/>
          <w:sz w:val="32"/>
          <w:szCs w:val="32"/>
        </w:rPr>
        <w:t>万元，</w:t>
      </w:r>
      <w:r>
        <w:rPr>
          <w:rFonts w:hint="eastAsia" w:asciiTheme="minorEastAsia" w:hAnsiTheme="minorEastAsia"/>
          <w:bCs/>
          <w:kern w:val="0"/>
          <w:sz w:val="32"/>
          <w:szCs w:val="32"/>
          <w:lang w:eastAsia="zh-CN"/>
        </w:rPr>
        <w:t>增加</w:t>
      </w:r>
      <w:r>
        <w:rPr>
          <w:rFonts w:hint="eastAsia" w:asciiTheme="minorEastAsia" w:hAnsiTheme="minorEastAsia"/>
          <w:bCs/>
          <w:kern w:val="0"/>
          <w:sz w:val="32"/>
          <w:szCs w:val="32"/>
          <w:lang w:val="en-US" w:eastAsia="zh-CN"/>
        </w:rPr>
        <w:t>5.17</w:t>
      </w:r>
      <w:r>
        <w:rPr>
          <w:rFonts w:hint="eastAsia" w:asciiTheme="minorEastAsia" w:hAnsiTheme="minorEastAsia"/>
          <w:bCs/>
          <w:kern w:val="0"/>
          <w:sz w:val="32"/>
          <w:szCs w:val="32"/>
        </w:rPr>
        <w:t>%</w:t>
      </w:r>
      <w:r>
        <w:rPr>
          <w:rFonts w:hint="eastAsia" w:asciiTheme="minorEastAsia" w:hAnsiTheme="minorEastAsia"/>
          <w:bCs/>
          <w:color w:val="auto"/>
          <w:kern w:val="0"/>
          <w:sz w:val="32"/>
          <w:szCs w:val="32"/>
        </w:rPr>
        <w:t>，主要是因为财</w:t>
      </w:r>
      <w:r>
        <w:rPr>
          <w:rFonts w:hint="eastAsia" w:asciiTheme="minorEastAsia" w:hAnsiTheme="minorEastAsia"/>
          <w:bCs/>
          <w:kern w:val="0"/>
          <w:sz w:val="32"/>
          <w:szCs w:val="32"/>
        </w:rPr>
        <w:t>政拨款</w:t>
      </w:r>
      <w:r>
        <w:rPr>
          <w:rFonts w:hint="eastAsia" w:asciiTheme="minorEastAsia" w:hAnsiTheme="minorEastAsia"/>
          <w:bCs/>
          <w:kern w:val="0"/>
          <w:sz w:val="32"/>
          <w:szCs w:val="32"/>
          <w:lang w:eastAsia="zh-CN"/>
        </w:rPr>
        <w:t>年初结转增加</w:t>
      </w:r>
      <w:r>
        <w:rPr>
          <w:rFonts w:hint="eastAsia" w:asciiTheme="minorEastAsia" w:hAnsiTheme="minorEastAsia"/>
          <w:bCs/>
          <w:kern w:val="0"/>
          <w:sz w:val="32"/>
          <w:szCs w:val="32"/>
        </w:rPr>
        <w:t>。</w:t>
      </w:r>
    </w:p>
    <w:p>
      <w:pPr>
        <w:widowControl/>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五、一般公共预算财政拨款支出决算情况说明</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（一）财政拨款支出决算总体情况</w:t>
      </w:r>
    </w:p>
    <w:p>
      <w:pPr>
        <w:widowControl/>
        <w:spacing w:line="600" w:lineRule="exact"/>
        <w:ind w:firstLine="640" w:firstLineChars="200"/>
        <w:rPr>
          <w:rFonts w:hint="default" w:asciiTheme="minorEastAsia" w:hAnsiTheme="minorEastAsia" w:eastAsiaTheme="minorEastAsia"/>
          <w:bCs/>
          <w:color w:val="FF0000"/>
          <w:kern w:val="0"/>
          <w:sz w:val="32"/>
          <w:szCs w:val="32"/>
          <w:lang w:val="en-US" w:eastAsia="zh-CN"/>
        </w:rPr>
      </w:pPr>
      <w:r>
        <w:rPr>
          <w:rFonts w:hint="eastAsia" w:asciiTheme="minorEastAsia" w:hAnsiTheme="minorEastAsia"/>
          <w:bCs/>
          <w:color w:val="auto"/>
          <w:kern w:val="0"/>
          <w:sz w:val="32"/>
          <w:szCs w:val="32"/>
        </w:rPr>
        <w:t>2020年度财政拨款支出413.84万元（含上年结转结余21.4万元），占本年支出合计的100%，与上年相比，财政拨款支出减少1.05万元，减少0.27%，主要是因为财政拨款减少。</w:t>
      </w:r>
      <w:r>
        <w:rPr>
          <w:rFonts w:hint="eastAsia" w:asciiTheme="minorEastAsia" w:hAnsiTheme="minorEastAsia"/>
          <w:bCs/>
          <w:color w:val="auto"/>
          <w:kern w:val="0"/>
          <w:sz w:val="32"/>
          <w:szCs w:val="32"/>
          <w:lang w:eastAsia="zh-CN"/>
        </w:rPr>
        <w:t>其中：社会保障和就业</w:t>
      </w:r>
      <w:r>
        <w:rPr>
          <w:rFonts w:hint="eastAsia" w:asciiTheme="minorEastAsia" w:hAnsiTheme="minorEastAsia"/>
          <w:bCs/>
          <w:color w:val="000000" w:themeColor="text1"/>
          <w:kern w:val="0"/>
          <w:sz w:val="32"/>
          <w:szCs w:val="32"/>
          <w14:textFill>
            <w14:solidFill>
              <w14:schemeClr w14:val="tx1"/>
            </w14:solidFill>
          </w14:textFill>
        </w:rPr>
        <w:t>（类）</w:t>
      </w:r>
      <w:r>
        <w:rPr>
          <w:rFonts w:hint="eastAsia" w:asciiTheme="minorEastAsia" w:hAnsiTheme="minorEastAsia"/>
          <w:bCs/>
          <w:color w:val="auto"/>
          <w:kern w:val="0"/>
          <w:sz w:val="32"/>
          <w:szCs w:val="32"/>
          <w:lang w:eastAsia="zh-CN"/>
        </w:rPr>
        <w:t>支出</w:t>
      </w:r>
      <w:r>
        <w:rPr>
          <w:rFonts w:hint="eastAsia" w:asciiTheme="minorEastAsia" w:hAnsiTheme="minorEastAsia"/>
          <w:bCs/>
          <w:color w:val="auto"/>
          <w:kern w:val="0"/>
          <w:sz w:val="32"/>
          <w:szCs w:val="32"/>
          <w:lang w:val="en-US" w:eastAsia="zh-CN"/>
        </w:rPr>
        <w:t>43.17万元；资源勘探工业信息等</w:t>
      </w:r>
      <w:r>
        <w:rPr>
          <w:rFonts w:hint="eastAsia" w:asciiTheme="minorEastAsia" w:hAnsiTheme="minorEastAsia"/>
          <w:bCs/>
          <w:color w:val="000000" w:themeColor="text1"/>
          <w:kern w:val="0"/>
          <w:sz w:val="32"/>
          <w:szCs w:val="32"/>
          <w14:textFill>
            <w14:solidFill>
              <w14:schemeClr w14:val="tx1"/>
            </w14:solidFill>
          </w14:textFill>
        </w:rPr>
        <w:t>（类）</w:t>
      </w:r>
      <w:r>
        <w:rPr>
          <w:rFonts w:hint="eastAsia" w:asciiTheme="minorEastAsia" w:hAnsiTheme="minorEastAsia"/>
          <w:bCs/>
          <w:color w:val="auto"/>
          <w:kern w:val="0"/>
          <w:sz w:val="32"/>
          <w:szCs w:val="32"/>
          <w:lang w:val="en-US" w:eastAsia="zh-CN"/>
        </w:rPr>
        <w:t>支出70.4万元；自然资源海洋气象等</w:t>
      </w:r>
      <w:r>
        <w:rPr>
          <w:rFonts w:hint="eastAsia" w:asciiTheme="minorEastAsia" w:hAnsiTheme="minorEastAsia"/>
          <w:bCs/>
          <w:color w:val="000000" w:themeColor="text1"/>
          <w:kern w:val="0"/>
          <w:sz w:val="32"/>
          <w:szCs w:val="32"/>
          <w14:textFill>
            <w14:solidFill>
              <w14:schemeClr w14:val="tx1"/>
            </w14:solidFill>
          </w14:textFill>
        </w:rPr>
        <w:t>（类）</w:t>
      </w:r>
      <w:r>
        <w:rPr>
          <w:rFonts w:hint="eastAsia" w:asciiTheme="minorEastAsia" w:hAnsiTheme="minorEastAsia"/>
          <w:bCs/>
          <w:color w:val="auto"/>
          <w:kern w:val="0"/>
          <w:sz w:val="32"/>
          <w:szCs w:val="32"/>
          <w:lang w:val="en-US" w:eastAsia="zh-CN"/>
        </w:rPr>
        <w:t>支出218.77万元；住房保障</w:t>
      </w:r>
      <w:r>
        <w:rPr>
          <w:rFonts w:hint="eastAsia" w:asciiTheme="minorEastAsia" w:hAnsiTheme="minorEastAsia"/>
          <w:bCs/>
          <w:color w:val="000000" w:themeColor="text1"/>
          <w:kern w:val="0"/>
          <w:sz w:val="32"/>
          <w:szCs w:val="32"/>
          <w14:textFill>
            <w14:solidFill>
              <w14:schemeClr w14:val="tx1"/>
            </w14:solidFill>
          </w14:textFill>
        </w:rPr>
        <w:t>（类）</w:t>
      </w:r>
      <w:r>
        <w:rPr>
          <w:rFonts w:hint="eastAsia" w:asciiTheme="minorEastAsia" w:hAnsiTheme="minorEastAsia"/>
          <w:bCs/>
          <w:color w:val="auto"/>
          <w:kern w:val="0"/>
          <w:sz w:val="32"/>
          <w:szCs w:val="32"/>
          <w:lang w:val="en-US" w:eastAsia="zh-CN"/>
        </w:rPr>
        <w:t>支出81.5万元。</w:t>
      </w:r>
    </w:p>
    <w:p>
      <w:pPr>
        <w:widowControl/>
        <w:spacing w:line="600" w:lineRule="exact"/>
        <w:ind w:firstLine="640" w:firstLineChars="200"/>
        <w:rPr>
          <w:rFonts w:asciiTheme="minorEastAsia" w:hAnsiTheme="minorEastAsia"/>
          <w:bCs/>
          <w:color w:val="auto"/>
          <w:kern w:val="0"/>
          <w:sz w:val="32"/>
          <w:szCs w:val="32"/>
        </w:rPr>
      </w:pPr>
      <w:r>
        <w:rPr>
          <w:rFonts w:hint="eastAsia" w:asciiTheme="minorEastAsia" w:hAnsiTheme="minorEastAsia"/>
          <w:bCs/>
          <w:color w:val="auto"/>
          <w:kern w:val="0"/>
          <w:sz w:val="32"/>
          <w:szCs w:val="32"/>
        </w:rPr>
        <w:t>（二）财政拨款支出决算结构情况</w:t>
      </w:r>
    </w:p>
    <w:p>
      <w:pPr>
        <w:widowControl/>
        <w:spacing w:line="600" w:lineRule="exact"/>
        <w:ind w:firstLine="640" w:firstLineChars="200"/>
        <w:rPr>
          <w:rFonts w:asciiTheme="minorEastAsia" w:hAnsiTheme="minorEastAsia"/>
          <w:bCs/>
          <w:color w:val="auto"/>
          <w:kern w:val="0"/>
          <w:sz w:val="32"/>
          <w:szCs w:val="32"/>
        </w:rPr>
      </w:pPr>
      <w:r>
        <w:rPr>
          <w:rFonts w:hint="eastAsia" w:asciiTheme="minorEastAsia" w:hAnsiTheme="minorEastAsia"/>
          <w:bCs/>
          <w:color w:val="auto"/>
          <w:kern w:val="0"/>
          <w:sz w:val="32"/>
          <w:szCs w:val="32"/>
        </w:rPr>
        <w:t>2020年度财政拨款支出413.84万元(含上年结转结余21.4万元），主要用于以下方面：一般公共服务支出1.82万元，占0.44%；人员经费支出412.02元，占99.56%。</w:t>
      </w:r>
    </w:p>
    <w:p>
      <w:pPr>
        <w:widowControl/>
        <w:spacing w:line="600" w:lineRule="exact"/>
        <w:ind w:firstLine="640" w:firstLineChars="200"/>
        <w:rPr>
          <w:rFonts w:asciiTheme="minorEastAsia" w:hAnsiTheme="minorEastAsia"/>
          <w:bCs/>
          <w:color w:val="auto"/>
          <w:kern w:val="0"/>
          <w:sz w:val="32"/>
          <w:szCs w:val="32"/>
        </w:rPr>
      </w:pPr>
      <w:r>
        <w:rPr>
          <w:rFonts w:hint="eastAsia" w:asciiTheme="minorEastAsia" w:hAnsiTheme="minorEastAsia"/>
          <w:bCs/>
          <w:color w:val="auto"/>
          <w:kern w:val="0"/>
          <w:sz w:val="32"/>
          <w:szCs w:val="32"/>
        </w:rPr>
        <w:t>（三）财政拨款支出决算具体情况</w:t>
      </w:r>
    </w:p>
    <w:p>
      <w:pPr>
        <w:widowControl/>
        <w:spacing w:line="600" w:lineRule="exact"/>
        <w:ind w:firstLine="640" w:firstLineChars="200"/>
        <w:rPr>
          <w:rFonts w:asciiTheme="minorEastAsia" w:hAnsiTheme="minorEastAsia"/>
          <w:bCs/>
          <w:color w:val="000000" w:themeColor="text1"/>
          <w:kern w:val="0"/>
          <w:sz w:val="32"/>
          <w:szCs w:val="32"/>
          <w14:textFill>
            <w14:solidFill>
              <w14:schemeClr w14:val="tx1"/>
            </w14:solidFill>
          </w14:textFill>
        </w:rPr>
      </w:pPr>
      <w:r>
        <w:rPr>
          <w:rFonts w:hint="eastAsia" w:asciiTheme="minorEastAsia" w:hAnsiTheme="minorEastAsia"/>
          <w:bCs/>
          <w:color w:val="000000" w:themeColor="text1"/>
          <w:kern w:val="0"/>
          <w:sz w:val="32"/>
          <w:szCs w:val="32"/>
          <w14:textFill>
            <w14:solidFill>
              <w14:schemeClr w14:val="tx1"/>
            </w14:solidFill>
          </w14:textFill>
        </w:rPr>
        <w:t>2020年度财政拨款支出年初预算数为343.44万元，支出决算数为392.44万元（不含上年结转结余21.4万元），完成年初预算的114.27%，其中：</w:t>
      </w:r>
    </w:p>
    <w:p>
      <w:pPr>
        <w:widowControl/>
        <w:spacing w:line="600" w:lineRule="exact"/>
        <w:ind w:firstLine="640" w:firstLineChars="200"/>
        <w:rPr>
          <w:rFonts w:asciiTheme="minorEastAsia" w:hAnsiTheme="minorEastAsia"/>
          <w:bCs/>
          <w:color w:val="000000" w:themeColor="text1"/>
          <w:kern w:val="0"/>
          <w:sz w:val="32"/>
          <w:szCs w:val="32"/>
          <w14:textFill>
            <w14:solidFill>
              <w14:schemeClr w14:val="tx1"/>
            </w14:solidFill>
          </w14:textFill>
        </w:rPr>
      </w:pPr>
      <w:r>
        <w:rPr>
          <w:rFonts w:hint="eastAsia" w:asciiTheme="minorEastAsia" w:hAnsiTheme="minorEastAsia"/>
          <w:bCs/>
          <w:color w:val="000000" w:themeColor="text1"/>
          <w:kern w:val="0"/>
          <w:sz w:val="32"/>
          <w:szCs w:val="32"/>
          <w14:textFill>
            <w14:solidFill>
              <w14:schemeClr w14:val="tx1"/>
            </w14:solidFill>
          </w14:textFill>
        </w:rPr>
        <w:t>1、社会保障和就业支出（类）行政事业单位离退休（款）机关事业单位基本养老保险就业支出（项）。年初预算数为43.17万元，支出决算为43.17万元，完成年初预算的100.00%，决算数与年初预算数一致。</w:t>
      </w:r>
    </w:p>
    <w:p>
      <w:pPr>
        <w:widowControl/>
        <w:spacing w:line="600" w:lineRule="exact"/>
        <w:ind w:firstLine="640" w:firstLineChars="200"/>
        <w:rPr>
          <w:rFonts w:asciiTheme="minorEastAsia" w:hAnsiTheme="minorEastAsia"/>
          <w:bCs/>
          <w:color w:val="000000" w:themeColor="text1"/>
          <w:kern w:val="0"/>
          <w:sz w:val="32"/>
          <w:szCs w:val="32"/>
          <w14:textFill>
            <w14:solidFill>
              <w14:schemeClr w14:val="tx1"/>
            </w14:solidFill>
          </w14:textFill>
        </w:rPr>
      </w:pPr>
      <w:r>
        <w:rPr>
          <w:rFonts w:hint="eastAsia" w:asciiTheme="minorEastAsia" w:hAnsiTheme="minorEastAsia"/>
          <w:bCs/>
          <w:color w:val="000000" w:themeColor="text1"/>
          <w:kern w:val="0"/>
          <w:sz w:val="32"/>
          <w:szCs w:val="32"/>
          <w14:textFill>
            <w14:solidFill>
              <w14:schemeClr w14:val="tx1"/>
            </w14:solidFill>
          </w14:textFill>
        </w:rPr>
        <w:t>2、资源勘探</w:t>
      </w:r>
      <w:r>
        <w:rPr>
          <w:rFonts w:hint="eastAsia" w:asciiTheme="minorEastAsia" w:hAnsiTheme="minorEastAsia"/>
          <w:bCs/>
          <w:color w:val="000000" w:themeColor="text1"/>
          <w:kern w:val="0"/>
          <w:sz w:val="32"/>
          <w:szCs w:val="32"/>
          <w:lang w:eastAsia="zh-CN"/>
          <w14:textFill>
            <w14:solidFill>
              <w14:schemeClr w14:val="tx1"/>
            </w14:solidFill>
          </w14:textFill>
        </w:rPr>
        <w:t>工业</w:t>
      </w:r>
      <w:r>
        <w:rPr>
          <w:rFonts w:hint="eastAsia" w:asciiTheme="minorEastAsia" w:hAnsiTheme="minorEastAsia"/>
          <w:bCs/>
          <w:color w:val="000000" w:themeColor="text1"/>
          <w:kern w:val="0"/>
          <w:sz w:val="32"/>
          <w:szCs w:val="32"/>
          <w14:textFill>
            <w14:solidFill>
              <w14:schemeClr w14:val="tx1"/>
            </w14:solidFill>
          </w14:textFill>
        </w:rPr>
        <w:t>信息等支出（类）其他资源勘探业（款）事业运行（项）。年初预算为62.2万元，支出决算为70.4万元，完成年初预算的113.18%，决算数大于预算数的主要原因是年中追加了财政拨款。</w:t>
      </w:r>
    </w:p>
    <w:p>
      <w:pPr>
        <w:widowControl/>
        <w:spacing w:line="600" w:lineRule="exact"/>
        <w:ind w:firstLine="640" w:firstLineChars="200"/>
        <w:rPr>
          <w:rFonts w:asciiTheme="minorEastAsia" w:hAnsiTheme="minorEastAsia"/>
          <w:bCs/>
          <w:color w:val="000000" w:themeColor="text1"/>
          <w:kern w:val="0"/>
          <w:sz w:val="32"/>
          <w:szCs w:val="32"/>
          <w14:textFill>
            <w14:solidFill>
              <w14:schemeClr w14:val="tx1"/>
            </w14:solidFill>
          </w14:textFill>
        </w:rPr>
      </w:pPr>
      <w:r>
        <w:rPr>
          <w:rFonts w:hint="eastAsia" w:asciiTheme="minorEastAsia" w:hAnsiTheme="minorEastAsia"/>
          <w:bCs/>
          <w:color w:val="000000" w:themeColor="text1"/>
          <w:kern w:val="0"/>
          <w:sz w:val="32"/>
          <w:szCs w:val="32"/>
          <w14:textFill>
            <w14:solidFill>
              <w14:schemeClr w14:val="tx1"/>
            </w14:solidFill>
          </w14:textFill>
        </w:rPr>
        <w:t>3、自然资源海洋气象等支出（类）自然资源事务（款）事业运行（项）。年初预算均为218.77万元，支出决算为218.77万元，决算数与年初预算数一致</w:t>
      </w:r>
    </w:p>
    <w:p>
      <w:pPr>
        <w:widowControl/>
        <w:spacing w:line="600" w:lineRule="exact"/>
        <w:ind w:firstLine="640" w:firstLineChars="200"/>
        <w:rPr>
          <w:rFonts w:asciiTheme="minorEastAsia" w:hAnsiTheme="minorEastAsia"/>
          <w:bCs/>
          <w:color w:val="000000" w:themeColor="text1"/>
          <w:kern w:val="0"/>
          <w:sz w:val="32"/>
          <w:szCs w:val="32"/>
          <w14:textFill>
            <w14:solidFill>
              <w14:schemeClr w14:val="tx1"/>
            </w14:solidFill>
          </w14:textFill>
        </w:rPr>
      </w:pPr>
      <w:r>
        <w:rPr>
          <w:rFonts w:hint="eastAsia" w:asciiTheme="minorEastAsia" w:hAnsiTheme="minorEastAsia"/>
          <w:bCs/>
          <w:color w:val="000000" w:themeColor="text1"/>
          <w:kern w:val="0"/>
          <w:sz w:val="32"/>
          <w:szCs w:val="32"/>
          <w14:textFill>
            <w14:solidFill>
              <w14:schemeClr w14:val="tx1"/>
            </w14:solidFill>
          </w14:textFill>
        </w:rPr>
        <w:t>4、住房保障支出（类）住房改革支出（款）住房公积金（项）。支出决算为64.1万元，决算数与年初预算数一致。</w:t>
      </w:r>
    </w:p>
    <w:p>
      <w:pPr>
        <w:widowControl/>
        <w:spacing w:line="600" w:lineRule="exact"/>
        <w:ind w:firstLine="640" w:firstLineChars="200"/>
        <w:rPr>
          <w:rFonts w:asciiTheme="minorEastAsia" w:hAnsiTheme="minorEastAsia"/>
          <w:bCs/>
          <w:color w:val="000000" w:themeColor="text1"/>
          <w:kern w:val="0"/>
          <w:sz w:val="32"/>
          <w:szCs w:val="32"/>
          <w14:textFill>
            <w14:solidFill>
              <w14:schemeClr w14:val="tx1"/>
            </w14:solidFill>
          </w14:textFill>
        </w:rPr>
      </w:pPr>
      <w:r>
        <w:rPr>
          <w:rFonts w:hint="eastAsia" w:asciiTheme="minorEastAsia" w:hAnsiTheme="minorEastAsia"/>
          <w:bCs/>
          <w:color w:val="000000" w:themeColor="text1"/>
          <w:kern w:val="0"/>
          <w:sz w:val="32"/>
          <w:szCs w:val="32"/>
          <w14:textFill>
            <w14:solidFill>
              <w14:schemeClr w14:val="tx1"/>
            </w14:solidFill>
          </w14:textFill>
        </w:rPr>
        <w:t>5、住房保障支出（类）住房改革支出（款）购房补贴（项）。支出决算为17.4万元，决算数与年初预算数一致。</w:t>
      </w:r>
    </w:p>
    <w:p>
      <w:pPr>
        <w:widowControl/>
        <w:spacing w:line="600" w:lineRule="exact"/>
        <w:ind w:firstLine="720" w:firstLineChars="200"/>
        <w:jc w:val="left"/>
        <w:rPr>
          <w:rFonts w:asciiTheme="minorEastAsia" w:hAnsiTheme="minorEastAsia"/>
          <w:bCs/>
          <w:kern w:val="0"/>
          <w:sz w:val="32"/>
          <w:szCs w:val="32"/>
        </w:rPr>
      </w:pPr>
      <w:r>
        <w:rPr>
          <w:rFonts w:hint="eastAsia" w:ascii="Times New Roman" w:hAnsi="Times New Roman" w:eastAsia="方正小标宋_GBK" w:cs="Times New Roman"/>
          <w:color w:val="000000"/>
          <w:kern w:val="0"/>
          <w:sz w:val="36"/>
          <w:szCs w:val="36"/>
        </w:rPr>
        <w:t>六、一般公共预算财政拨款基本支出决算情况说明</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2020年度财政拨款基本支出41</w:t>
      </w:r>
      <w:r>
        <w:rPr>
          <w:rFonts w:hint="eastAsia" w:asciiTheme="minorEastAsia" w:hAnsiTheme="minorEastAsia"/>
          <w:bCs/>
          <w:kern w:val="0"/>
          <w:sz w:val="32"/>
          <w:szCs w:val="32"/>
          <w:lang w:val="en-US" w:eastAsia="zh-CN"/>
        </w:rPr>
        <w:t>3</w:t>
      </w:r>
      <w:r>
        <w:rPr>
          <w:rFonts w:hint="eastAsia" w:asciiTheme="minorEastAsia" w:hAnsiTheme="minorEastAsia"/>
          <w:bCs/>
          <w:kern w:val="0"/>
          <w:sz w:val="32"/>
          <w:szCs w:val="32"/>
        </w:rPr>
        <w:t>.84万元（含上年结转结余21.4万元），其中：人员经费412.02万元（含上年结转结余21.4万元），占基本支出的99.56%,主要包括基本工资、津贴补贴、奖金、养老保险和住房公积金；公用经费1.82万元，占基本支出的0.44%，主要包括办公费1万元和差旅费0.82万元。</w:t>
      </w:r>
    </w:p>
    <w:p>
      <w:pPr>
        <w:widowControl/>
        <w:spacing w:line="600" w:lineRule="exact"/>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七、一般公共预算财政拨款三公经费支出决算情况说明</w:t>
      </w:r>
    </w:p>
    <w:p>
      <w:pPr>
        <w:pStyle w:val="10"/>
        <w:ind w:firstLine="642" w:firstLineChars="200"/>
        <w:rPr>
          <w:rFonts w:ascii="宋体" w:hAnsi="宋体" w:eastAsia="宋体"/>
          <w:b/>
          <w:sz w:val="32"/>
          <w:szCs w:val="32"/>
        </w:rPr>
      </w:pPr>
      <w:r>
        <w:rPr>
          <w:rFonts w:hint="eastAsia" w:ascii="宋体" w:hAnsi="宋体" w:eastAsia="宋体"/>
          <w:b/>
          <w:sz w:val="32"/>
          <w:szCs w:val="32"/>
        </w:rPr>
        <w:t>（一）“三公”经费财政拨款支出决算总体情况说明</w:t>
      </w:r>
    </w:p>
    <w:p>
      <w:pPr>
        <w:widowControl/>
        <w:spacing w:line="600" w:lineRule="exact"/>
        <w:ind w:firstLine="640" w:firstLineChars="200"/>
        <w:rPr>
          <w:rFonts w:hint="eastAsia" w:asciiTheme="minorEastAsia" w:hAnsiTheme="minorEastAsia"/>
          <w:bCs/>
          <w:kern w:val="0"/>
          <w:sz w:val="32"/>
          <w:szCs w:val="32"/>
          <w:lang w:eastAsia="zh-CN"/>
        </w:rPr>
      </w:pPr>
      <w:bookmarkStart w:id="3" w:name="_GoBack"/>
      <w:bookmarkEnd w:id="3"/>
      <w:r>
        <w:rPr>
          <w:rFonts w:hint="eastAsia" w:asciiTheme="minorEastAsia" w:hAnsiTheme="minorEastAsia"/>
          <w:bCs/>
          <w:kern w:val="0"/>
          <w:sz w:val="32"/>
          <w:szCs w:val="32"/>
        </w:rPr>
        <w:t>本单位无三公经费支出</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因公出国（境）费</w:t>
      </w:r>
      <w:r>
        <w:rPr>
          <w:rFonts w:hint="eastAsia" w:asciiTheme="minorEastAsia" w:hAnsiTheme="minorEastAsia"/>
          <w:bCs/>
          <w:kern w:val="0"/>
          <w:sz w:val="32"/>
          <w:szCs w:val="32"/>
          <w:lang w:val="en-US" w:eastAsia="zh-CN"/>
        </w:rPr>
        <w:t>0元</w:t>
      </w:r>
      <w:r>
        <w:rPr>
          <w:rFonts w:hint="eastAsia" w:asciiTheme="minorEastAsia" w:hAnsiTheme="minorEastAsia"/>
          <w:bCs/>
          <w:kern w:val="0"/>
          <w:sz w:val="32"/>
          <w:szCs w:val="32"/>
        </w:rPr>
        <w:t>、公务用车购置及运行费</w:t>
      </w:r>
      <w:r>
        <w:rPr>
          <w:rFonts w:hint="eastAsia" w:asciiTheme="minorEastAsia" w:hAnsiTheme="minorEastAsia"/>
          <w:bCs/>
          <w:kern w:val="0"/>
          <w:sz w:val="32"/>
          <w:szCs w:val="32"/>
          <w:lang w:val="en-US" w:eastAsia="zh-CN"/>
        </w:rPr>
        <w:t>0元（</w:t>
      </w:r>
      <w:r>
        <w:rPr>
          <w:rFonts w:hint="eastAsia" w:asciiTheme="minorEastAsia" w:hAnsiTheme="minorEastAsia"/>
          <w:bCs/>
          <w:kern w:val="0"/>
          <w:sz w:val="32"/>
          <w:szCs w:val="32"/>
        </w:rPr>
        <w:t>公务用车购置</w:t>
      </w:r>
      <w:r>
        <w:rPr>
          <w:rFonts w:hint="eastAsia" w:asciiTheme="minorEastAsia" w:hAnsiTheme="minorEastAsia"/>
          <w:bCs/>
          <w:kern w:val="0"/>
          <w:sz w:val="32"/>
          <w:szCs w:val="32"/>
          <w:lang w:val="en-US" w:eastAsia="zh-CN"/>
        </w:rPr>
        <w:t>0万元，公务用车运行费0万元）</w:t>
      </w:r>
      <w:r>
        <w:rPr>
          <w:rFonts w:hint="eastAsia" w:asciiTheme="minorEastAsia" w:hAnsiTheme="minorEastAsia"/>
          <w:bCs/>
          <w:kern w:val="0"/>
          <w:sz w:val="32"/>
          <w:szCs w:val="32"/>
        </w:rPr>
        <w:t>和公务接待费支出</w:t>
      </w:r>
      <w:r>
        <w:rPr>
          <w:rFonts w:hint="eastAsia" w:asciiTheme="minorEastAsia" w:hAnsiTheme="minorEastAsia"/>
          <w:bCs/>
          <w:kern w:val="0"/>
          <w:sz w:val="32"/>
          <w:szCs w:val="32"/>
          <w:lang w:val="en-US" w:eastAsia="zh-CN"/>
        </w:rPr>
        <w:t>0元</w:t>
      </w:r>
      <w:r>
        <w:rPr>
          <w:rFonts w:hint="eastAsia" w:asciiTheme="minorEastAsia" w:hAnsiTheme="minorEastAsia"/>
          <w:bCs/>
          <w:kern w:val="0"/>
          <w:sz w:val="32"/>
          <w:szCs w:val="32"/>
        </w:rPr>
        <w:t>。与上年度对比无增减。其中：</w:t>
      </w:r>
    </w:p>
    <w:p>
      <w:pPr>
        <w:widowControl/>
        <w:spacing w:line="600" w:lineRule="exact"/>
        <w:ind w:firstLine="640" w:firstLineChars="200"/>
        <w:rPr>
          <w:rFonts w:hint="eastAsia" w:asciiTheme="minorEastAsia" w:hAnsiTheme="minorEastAsia"/>
          <w:bCs/>
          <w:kern w:val="0"/>
          <w:sz w:val="32"/>
          <w:szCs w:val="32"/>
          <w:lang w:eastAsia="zh-CN"/>
        </w:rPr>
      </w:pPr>
      <w:r>
        <w:rPr>
          <w:rFonts w:hint="eastAsia" w:asciiTheme="minorEastAsia" w:hAnsiTheme="minorEastAsia"/>
          <w:bCs/>
          <w:kern w:val="0"/>
          <w:sz w:val="32"/>
          <w:szCs w:val="32"/>
        </w:rPr>
        <w:t xml:space="preserve"> 因公出国（境）费本年支出预算为0万元，支出决算为0万元，2019年支出决算为0</w:t>
      </w:r>
      <w:r>
        <w:rPr>
          <w:rFonts w:hint="eastAsia" w:asciiTheme="minorEastAsia" w:hAnsiTheme="minorEastAsia"/>
          <w:bCs/>
          <w:kern w:val="0"/>
          <w:sz w:val="32"/>
          <w:szCs w:val="32"/>
          <w:lang w:eastAsia="zh-CN"/>
        </w:rPr>
        <w:t>万</w:t>
      </w:r>
      <w:r>
        <w:rPr>
          <w:rFonts w:hint="eastAsia" w:asciiTheme="minorEastAsia" w:hAnsiTheme="minorEastAsia"/>
          <w:bCs/>
          <w:kern w:val="0"/>
          <w:sz w:val="32"/>
          <w:szCs w:val="32"/>
        </w:rPr>
        <w:t>元，与上年持平。</w:t>
      </w:r>
    </w:p>
    <w:p>
      <w:pPr>
        <w:widowControl/>
        <w:spacing w:line="600" w:lineRule="exact"/>
        <w:ind w:firstLine="640" w:firstLineChars="200"/>
        <w:rPr>
          <w:rFonts w:hint="eastAsia" w:asciiTheme="minorEastAsia" w:hAnsiTheme="minorEastAsia"/>
          <w:bCs/>
          <w:kern w:val="0"/>
          <w:sz w:val="32"/>
          <w:szCs w:val="32"/>
          <w:lang w:eastAsia="zh-CN"/>
        </w:rPr>
      </w:pPr>
      <w:r>
        <w:rPr>
          <w:rFonts w:hint="eastAsia" w:asciiTheme="minorEastAsia" w:hAnsiTheme="minorEastAsia"/>
          <w:bCs/>
          <w:kern w:val="0"/>
          <w:sz w:val="32"/>
          <w:szCs w:val="32"/>
        </w:rPr>
        <w:t>公务接待费本年支出预算为0万元，支出决算为0万元，</w:t>
      </w:r>
      <w:r>
        <w:rPr>
          <w:rFonts w:hint="eastAsia" w:asciiTheme="minorEastAsia" w:hAnsiTheme="minorEastAsia"/>
          <w:bCs/>
          <w:kern w:val="0"/>
          <w:sz w:val="32"/>
          <w:szCs w:val="32"/>
          <w:lang w:eastAsia="zh-CN"/>
        </w:rPr>
        <w:t>与上年持平</w:t>
      </w:r>
      <w:r>
        <w:rPr>
          <w:rFonts w:hint="eastAsia" w:asciiTheme="minorEastAsia" w:hAnsiTheme="minorEastAsia"/>
          <w:bCs/>
          <w:kern w:val="0"/>
          <w:sz w:val="32"/>
          <w:szCs w:val="32"/>
        </w:rPr>
        <w:t>。</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公务用车购置费及运行维护费本年支出预算为0万元，支出决算0万元，2019年支出决算为0</w:t>
      </w:r>
      <w:r>
        <w:rPr>
          <w:rFonts w:hint="eastAsia" w:asciiTheme="minorEastAsia" w:hAnsiTheme="minorEastAsia"/>
          <w:bCs/>
          <w:kern w:val="0"/>
          <w:sz w:val="32"/>
          <w:szCs w:val="32"/>
          <w:lang w:eastAsia="zh-CN"/>
        </w:rPr>
        <w:t>万</w:t>
      </w:r>
      <w:r>
        <w:rPr>
          <w:rFonts w:hint="eastAsia" w:asciiTheme="minorEastAsia" w:hAnsiTheme="minorEastAsia"/>
          <w:bCs/>
          <w:kern w:val="0"/>
          <w:sz w:val="32"/>
          <w:szCs w:val="32"/>
        </w:rPr>
        <w:t>元，与上年持平。</w:t>
      </w:r>
    </w:p>
    <w:p>
      <w:pPr>
        <w:widowControl/>
        <w:spacing w:line="600" w:lineRule="exact"/>
        <w:ind w:firstLine="642" w:firstLineChars="200"/>
        <w:rPr>
          <w:rFonts w:hint="eastAsia" w:asciiTheme="minorEastAsia" w:hAnsiTheme="minorEastAsia"/>
          <w:b/>
          <w:bCs w:val="0"/>
          <w:kern w:val="0"/>
          <w:sz w:val="32"/>
          <w:szCs w:val="32"/>
        </w:rPr>
      </w:pPr>
      <w:r>
        <w:rPr>
          <w:rFonts w:hint="eastAsia" w:asciiTheme="minorEastAsia" w:hAnsiTheme="minorEastAsia"/>
          <w:b/>
          <w:bCs w:val="0"/>
          <w:kern w:val="0"/>
          <w:sz w:val="32"/>
          <w:szCs w:val="32"/>
        </w:rPr>
        <w:t>（二）“三公”经费财政拨款支出决算具体情况说明</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 xml:space="preserve"> </w:t>
      </w:r>
      <w:r>
        <w:rPr>
          <w:rFonts w:hint="eastAsia" w:asciiTheme="minorEastAsia" w:hAnsiTheme="minorEastAsia"/>
          <w:bCs/>
          <w:kern w:val="0"/>
          <w:sz w:val="32"/>
          <w:szCs w:val="32"/>
          <w:lang w:eastAsia="zh-CN"/>
        </w:rPr>
        <w:t>2020</w:t>
      </w:r>
      <w:r>
        <w:rPr>
          <w:rFonts w:hint="eastAsia" w:asciiTheme="minorEastAsia" w:hAnsiTheme="minorEastAsia"/>
          <w:bCs/>
          <w:kern w:val="0"/>
          <w:sz w:val="32"/>
          <w:szCs w:val="32"/>
        </w:rPr>
        <w:t>年度“三公”经费财政拨款支出决算中，公务接待费支出决算0万元，占0%,因公出国（境）费支出决算0万元，占0%,公务用车购置费及运行维护费支出决算0万元，占0%。其中：</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1、因公出国（境）费支出决算为0万元，全年安排因公出国（境）团组0个，累计0人次。</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2、公务接待费支出决算为0万元，全年共接待来访团组0个、来宾0人次。</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3、公务用车购置费及运行维护费支出决算为0万元，其中：公务用车购置费0万元,更新公务用车0辆。公务用车运行维护费0万元。截止</w:t>
      </w:r>
      <w:r>
        <w:rPr>
          <w:rFonts w:hint="eastAsia" w:asciiTheme="minorEastAsia" w:hAnsiTheme="minorEastAsia"/>
          <w:bCs/>
          <w:kern w:val="0"/>
          <w:sz w:val="32"/>
          <w:szCs w:val="32"/>
          <w:lang w:eastAsia="zh-CN"/>
        </w:rPr>
        <w:t>2020</w:t>
      </w:r>
      <w:r>
        <w:rPr>
          <w:rFonts w:hint="eastAsia" w:asciiTheme="minorEastAsia" w:hAnsiTheme="minorEastAsia"/>
          <w:bCs/>
          <w:kern w:val="0"/>
          <w:sz w:val="32"/>
          <w:szCs w:val="32"/>
        </w:rPr>
        <w:t>年12月31日，我单位开支财政拨款的公务用车保有量为0辆。</w:t>
      </w:r>
    </w:p>
    <w:p>
      <w:pPr>
        <w:widowControl/>
        <w:spacing w:line="600" w:lineRule="exact"/>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八、政府性基金预算收入支出决算情况</w:t>
      </w:r>
    </w:p>
    <w:p>
      <w:pPr>
        <w:widowControl/>
        <w:spacing w:line="600" w:lineRule="exact"/>
        <w:rPr>
          <w:rFonts w:asciiTheme="minorEastAsia" w:hAnsiTheme="minorEastAsia"/>
          <w:bCs/>
          <w:color w:val="auto"/>
          <w:kern w:val="0"/>
          <w:sz w:val="32"/>
          <w:szCs w:val="32"/>
        </w:rPr>
      </w:pPr>
      <w:r>
        <w:rPr>
          <w:rFonts w:hint="eastAsia" w:asciiTheme="minorEastAsia" w:hAnsiTheme="minorEastAsia"/>
          <w:bCs/>
          <w:kern w:val="0"/>
          <w:sz w:val="32"/>
          <w:szCs w:val="32"/>
        </w:rPr>
        <w:t xml:space="preserve">     </w:t>
      </w:r>
      <w:r>
        <w:rPr>
          <w:rFonts w:hint="eastAsia" w:asciiTheme="minorEastAsia" w:hAnsiTheme="minorEastAsia"/>
          <w:bCs/>
          <w:color w:val="auto"/>
          <w:kern w:val="0"/>
          <w:sz w:val="32"/>
          <w:szCs w:val="32"/>
        </w:rPr>
        <w:t xml:space="preserve"> 本单位无政府性基金收支。</w:t>
      </w:r>
    </w:p>
    <w:p>
      <w:pPr>
        <w:widowControl/>
        <w:spacing w:line="600" w:lineRule="exact"/>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九、关于机关运行经费支出说明</w:t>
      </w:r>
    </w:p>
    <w:p>
      <w:pPr>
        <w:widowControl/>
        <w:spacing w:line="600" w:lineRule="exact"/>
        <w:rPr>
          <w:rFonts w:asciiTheme="minorEastAsia" w:hAnsiTheme="minorEastAsia"/>
          <w:bCs/>
          <w:kern w:val="0"/>
          <w:sz w:val="32"/>
          <w:szCs w:val="32"/>
        </w:rPr>
      </w:pPr>
      <w:r>
        <w:rPr>
          <w:rFonts w:asciiTheme="minorEastAsia" w:hAnsiTheme="minorEastAsia"/>
          <w:bCs/>
          <w:kern w:val="0"/>
          <w:sz w:val="32"/>
          <w:szCs w:val="32"/>
        </w:rPr>
        <w:t>本单位非行政单位和参照公务员法管理事业单位，无机关运行经</w:t>
      </w:r>
      <w:r>
        <w:rPr>
          <w:rFonts w:asciiTheme="minorEastAsia" w:hAnsiTheme="minorEastAsia"/>
          <w:bCs/>
          <w:color w:val="auto"/>
          <w:kern w:val="0"/>
          <w:sz w:val="32"/>
          <w:szCs w:val="32"/>
        </w:rPr>
        <w:t>费支出</w:t>
      </w:r>
      <w:r>
        <w:rPr>
          <w:rFonts w:hint="eastAsia" w:asciiTheme="minorEastAsia" w:hAnsiTheme="minorEastAsia"/>
          <w:bCs/>
          <w:color w:val="auto"/>
          <w:kern w:val="0"/>
          <w:sz w:val="32"/>
          <w:szCs w:val="32"/>
        </w:rPr>
        <w:t>。</w:t>
      </w:r>
    </w:p>
    <w:p>
      <w:pPr>
        <w:widowControl/>
        <w:spacing w:line="600" w:lineRule="exact"/>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十、一般性支出情况</w:t>
      </w:r>
    </w:p>
    <w:p>
      <w:pPr>
        <w:widowControl/>
        <w:spacing w:line="600" w:lineRule="exact"/>
        <w:ind w:firstLine="320" w:firstLineChars="100"/>
        <w:rPr>
          <w:rFonts w:asciiTheme="minorEastAsia" w:hAnsiTheme="minorEastAsia"/>
          <w:bCs/>
          <w:color w:val="auto"/>
          <w:kern w:val="0"/>
          <w:sz w:val="32"/>
          <w:szCs w:val="32"/>
        </w:rPr>
      </w:pPr>
      <w:r>
        <w:rPr>
          <w:rFonts w:hint="eastAsia" w:asciiTheme="minorEastAsia" w:hAnsiTheme="minorEastAsia"/>
          <w:bCs/>
          <w:color w:val="auto"/>
          <w:kern w:val="0"/>
          <w:sz w:val="32"/>
          <w:szCs w:val="32"/>
        </w:rPr>
        <w:t>2020年本单位无开支会议费开支；无培训开支。本单位未举办任何节庆、晚会、论坛、赛事活动，无此类开支。</w:t>
      </w:r>
    </w:p>
    <w:p>
      <w:pPr>
        <w:widowControl/>
        <w:spacing w:line="600" w:lineRule="exact"/>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十一、关于政府采购支出说明</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 xml:space="preserve">    本单位无政府采购</w:t>
      </w:r>
      <w:r>
        <w:rPr>
          <w:rFonts w:hint="eastAsia" w:asciiTheme="minorEastAsia" w:hAnsiTheme="minorEastAsia"/>
          <w:bCs/>
          <w:kern w:val="0"/>
          <w:sz w:val="32"/>
          <w:szCs w:val="32"/>
          <w:lang w:eastAsia="zh-CN"/>
        </w:rPr>
        <w:t>支出</w:t>
      </w:r>
      <w:r>
        <w:rPr>
          <w:rFonts w:hint="eastAsia" w:asciiTheme="minorEastAsia" w:hAnsiTheme="minorEastAsia"/>
          <w:bCs/>
          <w:kern w:val="0"/>
          <w:sz w:val="32"/>
          <w:szCs w:val="32"/>
        </w:rPr>
        <w:t>。</w:t>
      </w:r>
    </w:p>
    <w:p>
      <w:pPr>
        <w:widowControl/>
        <w:spacing w:line="600" w:lineRule="exact"/>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十二、关于国有资产占用情况说明</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 xml:space="preserve">    截至2020年12月31日，本单位共有车辆0辆，其中，主要领导干部用车0辆，机要通信用车0辆、应急保障用车0辆、执法执勤用车0辆、特种专业技术用车0辆、其他用车0辆，其他用车主为0；单位价值50万元以上通用设备0台（套）；单位价值100万元以上专用设备0台（套）。</w:t>
      </w:r>
    </w:p>
    <w:p>
      <w:pPr>
        <w:widowControl/>
        <w:spacing w:line="600" w:lineRule="exact"/>
        <w:ind w:firstLine="720" w:firstLineChars="200"/>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十三、关于2020年度预算绩效情况的说明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heme="minorEastAsia" w:hAnsiTheme="minorEastAsia" w:eastAsiaTheme="minorEastAsia" w:cstheme="minorBidi"/>
          <w:bCs/>
          <w:color w:val="auto"/>
          <w:kern w:val="0"/>
          <w:sz w:val="32"/>
          <w:szCs w:val="32"/>
          <w:lang w:val="en-US" w:eastAsia="zh-CN" w:bidi="ar-SA"/>
        </w:rPr>
      </w:pPr>
      <w:r>
        <w:rPr>
          <w:rFonts w:hint="eastAsia" w:asciiTheme="minorEastAsia" w:hAnsiTheme="minorEastAsia" w:eastAsiaTheme="minorEastAsia" w:cstheme="minorBidi"/>
          <w:bCs/>
          <w:color w:val="auto"/>
          <w:kern w:val="0"/>
          <w:sz w:val="32"/>
          <w:szCs w:val="32"/>
          <w:lang w:val="en-US" w:eastAsia="zh-CN" w:bidi="ar-SA"/>
        </w:rPr>
        <w:t>本单位预算绩效管理开展情况、绩效目标和绩效评价报告等已由上级单位汇总公开，本次随部门决算一同公开。</w:t>
      </w:r>
    </w:p>
    <w:p>
      <w:pPr>
        <w:pStyle w:val="10"/>
        <w:jc w:val="center"/>
        <w:rPr>
          <w:rFonts w:hint="eastAsia" w:asciiTheme="minorEastAsia" w:hAnsiTheme="minorEastAsia" w:eastAsiaTheme="minorEastAsia" w:cstheme="minorBidi"/>
          <w:bCs/>
          <w:color w:val="auto"/>
          <w:kern w:val="0"/>
          <w:sz w:val="32"/>
          <w:szCs w:val="32"/>
          <w:lang w:val="en-US" w:eastAsia="zh-CN" w:bidi="ar-SA"/>
        </w:rPr>
      </w:pPr>
    </w:p>
    <w:p>
      <w:pPr>
        <w:pStyle w:val="10"/>
        <w:jc w:val="center"/>
        <w:rPr>
          <w:rFonts w:hint="eastAsia" w:asciiTheme="minorEastAsia" w:hAnsiTheme="minorEastAsia" w:eastAsiaTheme="minorEastAsia" w:cstheme="minorBidi"/>
          <w:bCs/>
          <w:color w:val="auto"/>
          <w:kern w:val="0"/>
          <w:sz w:val="32"/>
          <w:szCs w:val="32"/>
          <w:lang w:val="en-US" w:eastAsia="zh-CN" w:bidi="ar-SA"/>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ind w:firstLine="2880" w:firstLineChars="400"/>
        <w:jc w:val="both"/>
        <w:rPr>
          <w:sz w:val="72"/>
          <w:szCs w:val="72"/>
        </w:rPr>
      </w:pPr>
      <w:r>
        <w:rPr>
          <w:rFonts w:hint="eastAsia"/>
          <w:sz w:val="72"/>
          <w:szCs w:val="72"/>
        </w:rPr>
        <w:t>第四部分</w:t>
      </w: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p>
    <w:p>
      <w:pPr>
        <w:rPr>
          <w:rFonts w:ascii="黑体" w:eastAsia="黑体" w:cs="黑体"/>
          <w:color w:val="000000"/>
          <w:kern w:val="0"/>
          <w:sz w:val="70"/>
          <w:szCs w:val="70"/>
        </w:rPr>
      </w:pPr>
    </w:p>
    <w:p>
      <w:pPr>
        <w:widowControl/>
        <w:shd w:val="clear" w:color="auto" w:fill="FFFFFF"/>
        <w:spacing w:before="100" w:beforeAutospacing="1" w:after="100" w:afterAutospacing="1" w:line="655" w:lineRule="atLeast"/>
        <w:ind w:firstLine="720" w:firstLineChars="200"/>
        <w:jc w:val="left"/>
        <w:rPr>
          <w:rFonts w:ascii="宋体" w:hAnsi="宋体" w:eastAsia="宋体" w:cs="宋体"/>
          <w:color w:val="333333"/>
          <w:kern w:val="0"/>
          <w:sz w:val="24"/>
          <w:szCs w:val="24"/>
        </w:rPr>
      </w:pPr>
      <w:r>
        <w:rPr>
          <w:rFonts w:hint="eastAsia" w:ascii="Times New Roman" w:hAnsi="Times New Roman" w:eastAsia="方正小标宋_GBK" w:cs="Times New Roman"/>
          <w:color w:val="000000"/>
          <w:kern w:val="0"/>
          <w:sz w:val="36"/>
          <w:szCs w:val="36"/>
        </w:rPr>
        <w:t>一、基本支出：</w:t>
      </w:r>
      <w:r>
        <w:rPr>
          <w:rFonts w:hint="eastAsia" w:asciiTheme="minorEastAsia" w:hAnsiTheme="minorEastAsia"/>
          <w:bCs/>
          <w:kern w:val="0"/>
          <w:sz w:val="32"/>
          <w:szCs w:val="32"/>
        </w:rPr>
        <w:t>指为保障机构正常运转、完成日常工作任务而发生的各项支出，包括人员支出和公用支出。</w:t>
      </w:r>
    </w:p>
    <w:p>
      <w:pPr>
        <w:widowControl/>
        <w:shd w:val="clear" w:color="auto" w:fill="FFFFFF"/>
        <w:spacing w:before="100" w:beforeAutospacing="1" w:after="100" w:afterAutospacing="1" w:line="655" w:lineRule="atLeast"/>
        <w:ind w:firstLine="720" w:firstLineChars="200"/>
        <w:jc w:val="left"/>
        <w:rPr>
          <w:rFonts w:ascii="宋体" w:hAnsi="宋体" w:eastAsia="宋体" w:cs="宋体"/>
          <w:color w:val="333333"/>
          <w:kern w:val="0"/>
          <w:sz w:val="24"/>
          <w:szCs w:val="24"/>
        </w:rPr>
      </w:pPr>
      <w:r>
        <w:rPr>
          <w:rFonts w:hint="eastAsia" w:ascii="Times New Roman" w:hAnsi="Times New Roman" w:eastAsia="方正小标宋_GBK" w:cs="Times New Roman"/>
          <w:color w:val="000000"/>
          <w:kern w:val="0"/>
          <w:sz w:val="36"/>
          <w:szCs w:val="36"/>
        </w:rPr>
        <w:t>二、“三公”经费：</w:t>
      </w:r>
      <w:r>
        <w:rPr>
          <w:rFonts w:hint="eastAsia" w:asciiTheme="minorEastAsia" w:hAnsiTheme="minorEastAsia"/>
          <w:bCs/>
          <w:kern w:val="0"/>
          <w:sz w:val="32"/>
          <w:szCs w:val="32"/>
        </w:rPr>
        <w:t>指通过财政拨款资金安排的因公出国（境）费、公务用车购置及运行费和公务接待费支出。</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center"/>
        <w:rPr>
          <w:rFonts w:ascii="黑体" w:hAnsi="黑体" w:eastAsia="黑体" w:cs="黑体"/>
          <w:color w:val="000000"/>
          <w:kern w:val="0"/>
          <w:sz w:val="48"/>
          <w:szCs w:val="48"/>
        </w:rPr>
      </w:pPr>
      <w:r>
        <w:rPr>
          <w:rFonts w:ascii="黑体" w:eastAsia="黑体" w:cs="黑体"/>
          <w:color w:val="000000"/>
          <w:kern w:val="0"/>
          <w:sz w:val="70"/>
          <w:szCs w:val="70"/>
        </w:rPr>
        <w:br w:type="page"/>
      </w:r>
      <w:r>
        <w:rPr>
          <w:rFonts w:hint="eastAsia" w:ascii="黑体" w:hAnsi="黑体" w:eastAsia="黑体"/>
          <w:b/>
          <w:sz w:val="48"/>
          <w:szCs w:val="48"/>
        </w:rPr>
        <w:t>湖南省核工业地质局探矿技术研究所</w:t>
      </w:r>
    </w:p>
    <w:p>
      <w:pPr>
        <w:spacing w:line="360" w:lineRule="auto"/>
        <w:jc w:val="center"/>
        <w:rPr>
          <w:rFonts w:ascii="黑体" w:hAnsi="黑体" w:eastAsia="黑体"/>
          <w:b/>
          <w:sz w:val="48"/>
          <w:szCs w:val="48"/>
        </w:rPr>
      </w:pPr>
      <w:r>
        <w:rPr>
          <w:rFonts w:hint="eastAsia" w:ascii="黑体" w:hAnsi="黑体" w:eastAsia="黑体"/>
          <w:b/>
          <w:sz w:val="48"/>
          <w:szCs w:val="48"/>
        </w:rPr>
        <w:t>部门整体支出绩效报告</w:t>
      </w:r>
    </w:p>
    <w:p>
      <w:pPr>
        <w:spacing w:line="360" w:lineRule="auto"/>
        <w:rPr>
          <w:b/>
          <w:sz w:val="28"/>
          <w:szCs w:val="28"/>
        </w:rPr>
      </w:pPr>
    </w:p>
    <w:p>
      <w:pPr>
        <w:widowControl/>
        <w:spacing w:line="600" w:lineRule="exact"/>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一、部门基本情况</w:t>
      </w:r>
    </w:p>
    <w:p>
      <w:pPr>
        <w:widowControl/>
        <w:spacing w:line="600" w:lineRule="exact"/>
        <w:jc w:val="left"/>
        <w:rPr>
          <w:rFonts w:asciiTheme="minorEastAsia" w:hAnsiTheme="minorEastAsia"/>
          <w:bCs/>
          <w:kern w:val="0"/>
          <w:sz w:val="32"/>
          <w:szCs w:val="32"/>
        </w:rPr>
      </w:pPr>
      <w:r>
        <w:rPr>
          <w:rFonts w:hint="eastAsia" w:asciiTheme="minorEastAsia" w:hAnsiTheme="minorEastAsia"/>
          <w:bCs/>
          <w:kern w:val="0"/>
          <w:sz w:val="32"/>
          <w:szCs w:val="32"/>
        </w:rPr>
        <w:t xml:space="preserve">    我所位于长沙市韶山北路</w:t>
      </w:r>
      <w:r>
        <w:rPr>
          <w:rFonts w:asciiTheme="minorEastAsia" w:hAnsiTheme="minorEastAsia"/>
          <w:bCs/>
          <w:kern w:val="0"/>
          <w:sz w:val="32"/>
          <w:szCs w:val="32"/>
        </w:rPr>
        <w:t>256</w:t>
      </w:r>
      <w:r>
        <w:rPr>
          <w:rFonts w:hint="eastAsia" w:asciiTheme="minorEastAsia" w:hAnsiTheme="minorEastAsia"/>
          <w:bCs/>
          <w:kern w:val="0"/>
          <w:sz w:val="32"/>
          <w:szCs w:val="32"/>
        </w:rPr>
        <w:t>号，是湖南省核工业地质局的二级事业单位，我所上级核准的机构数为1个，单位编制人数</w:t>
      </w:r>
      <w:r>
        <w:rPr>
          <w:rFonts w:asciiTheme="minorEastAsia" w:hAnsiTheme="minorEastAsia"/>
          <w:bCs/>
          <w:kern w:val="0"/>
          <w:sz w:val="32"/>
          <w:szCs w:val="32"/>
        </w:rPr>
        <w:t>45</w:t>
      </w:r>
      <w:r>
        <w:rPr>
          <w:rFonts w:hint="eastAsia" w:asciiTheme="minorEastAsia" w:hAnsiTheme="minorEastAsia"/>
          <w:bCs/>
          <w:kern w:val="0"/>
          <w:sz w:val="32"/>
          <w:szCs w:val="32"/>
        </w:rPr>
        <w:t>人，2020年末实有在职人数38人，退休9人。我所的独立编制机构数一个，主要职能是贯彻执行放射线矿产探矿规划和年度计划并组织实施，指导局属各地勘单位解决探矿技术难题，提供技术服务。重点工作计划是指导局属各地勘单位解决探矿技术难题，并提供技术服务。</w:t>
      </w:r>
    </w:p>
    <w:p>
      <w:pPr>
        <w:widowControl/>
        <w:spacing w:line="600" w:lineRule="exact"/>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二、</w:t>
      </w:r>
      <w:r>
        <w:rPr>
          <w:rFonts w:ascii="Times New Roman" w:hAnsi="Times New Roman" w:eastAsia="方正小标宋_GBK" w:cs="Times New Roman"/>
          <w:color w:val="000000"/>
          <w:kern w:val="0"/>
          <w:sz w:val="36"/>
          <w:szCs w:val="36"/>
        </w:rPr>
        <w:t>一般公共预算支出情况</w:t>
      </w:r>
    </w:p>
    <w:p>
      <w:pPr>
        <w:widowControl/>
        <w:spacing w:line="600" w:lineRule="exact"/>
        <w:jc w:val="left"/>
        <w:rPr>
          <w:rFonts w:asciiTheme="minorEastAsia" w:hAnsiTheme="minorEastAsia"/>
          <w:bCs/>
          <w:kern w:val="0"/>
          <w:sz w:val="32"/>
          <w:szCs w:val="32"/>
        </w:rPr>
      </w:pPr>
      <w:r>
        <w:rPr>
          <w:rFonts w:hint="eastAsia" w:asciiTheme="minorEastAsia" w:hAnsiTheme="minorEastAsia"/>
          <w:bCs/>
          <w:kern w:val="0"/>
          <w:sz w:val="32"/>
          <w:szCs w:val="32"/>
        </w:rPr>
        <w:t xml:space="preserve">    2</w:t>
      </w:r>
      <w:r>
        <w:rPr>
          <w:rFonts w:asciiTheme="minorEastAsia" w:hAnsiTheme="minorEastAsia"/>
          <w:bCs/>
          <w:kern w:val="0"/>
          <w:sz w:val="32"/>
          <w:szCs w:val="32"/>
        </w:rPr>
        <w:t>0</w:t>
      </w:r>
      <w:r>
        <w:rPr>
          <w:rFonts w:hint="eastAsia" w:asciiTheme="minorEastAsia" w:hAnsiTheme="minorEastAsia"/>
          <w:bCs/>
          <w:kern w:val="0"/>
          <w:sz w:val="32"/>
          <w:szCs w:val="32"/>
        </w:rPr>
        <w:t>20年度一般公共财政拨款年初结转结余21.4万元，本年收入392.44万元，本年支出392.44万元（不含上年结转结余21.4万元），年末结转结余0万元。</w:t>
      </w:r>
    </w:p>
    <w:p>
      <w:pPr>
        <w:spacing w:line="360" w:lineRule="auto"/>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工资福利支出371.22万元，对个人和家庭的补助支出17.4万元；人员经费支出合计392.44万元（不含上年结转结余21.4万元），商品和服务支出支出1.82万元，</w:t>
      </w:r>
      <w:r>
        <w:rPr>
          <w:rFonts w:asciiTheme="minorEastAsia" w:hAnsiTheme="minorEastAsia"/>
          <w:bCs/>
          <w:kern w:val="0"/>
          <w:sz w:val="32"/>
          <w:szCs w:val="32"/>
        </w:rPr>
        <w:t>20</w:t>
      </w:r>
      <w:r>
        <w:rPr>
          <w:rFonts w:hint="eastAsia" w:asciiTheme="minorEastAsia" w:hAnsiTheme="minorEastAsia"/>
          <w:bCs/>
          <w:kern w:val="0"/>
          <w:sz w:val="32"/>
          <w:szCs w:val="32"/>
        </w:rPr>
        <w:t>20年末的实际决算数比年初预算增加了49.00万元，主要是增加了绩效工资拨款，决算收支平衡。</w:t>
      </w:r>
    </w:p>
    <w:p>
      <w:pPr>
        <w:spacing w:line="360" w:lineRule="auto"/>
        <w:ind w:firstLine="800" w:firstLineChars="250"/>
        <w:rPr>
          <w:rFonts w:asciiTheme="minorEastAsia" w:hAnsiTheme="minorEastAsia"/>
          <w:bCs/>
          <w:kern w:val="0"/>
          <w:sz w:val="32"/>
          <w:szCs w:val="32"/>
        </w:rPr>
      </w:pPr>
      <w:r>
        <w:rPr>
          <w:rFonts w:hint="eastAsia" w:asciiTheme="minorEastAsia" w:hAnsiTheme="minorEastAsia"/>
          <w:bCs/>
          <w:kern w:val="0"/>
          <w:sz w:val="32"/>
          <w:szCs w:val="32"/>
        </w:rPr>
        <w:t>我所年初财政预算无三公经费，全年也未发生三公经费。</w:t>
      </w:r>
    </w:p>
    <w:p>
      <w:pPr>
        <w:widowControl/>
        <w:spacing w:line="600" w:lineRule="exact"/>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三、部门专项组织实施情况</w:t>
      </w:r>
    </w:p>
    <w:p>
      <w:pPr>
        <w:spacing w:line="360" w:lineRule="auto"/>
        <w:ind w:firstLine="800" w:firstLineChars="250"/>
        <w:rPr>
          <w:rFonts w:ascii="黑体" w:eastAsia="黑体"/>
          <w:sz w:val="32"/>
          <w:szCs w:val="32"/>
        </w:rPr>
      </w:pPr>
    </w:p>
    <w:p>
      <w:pPr>
        <w:spacing w:line="360" w:lineRule="auto"/>
        <w:ind w:firstLine="800" w:firstLineChars="250"/>
        <w:rPr>
          <w:rFonts w:asciiTheme="minorEastAsia" w:hAnsiTheme="minorEastAsia"/>
          <w:bCs/>
          <w:kern w:val="0"/>
          <w:sz w:val="32"/>
          <w:szCs w:val="32"/>
        </w:rPr>
      </w:pPr>
      <w:r>
        <w:rPr>
          <w:rFonts w:hint="eastAsia" w:asciiTheme="minorEastAsia" w:hAnsiTheme="minorEastAsia"/>
          <w:bCs/>
          <w:kern w:val="0"/>
          <w:sz w:val="32"/>
          <w:szCs w:val="32"/>
        </w:rPr>
        <w:t>因我所</w:t>
      </w:r>
      <w:r>
        <w:rPr>
          <w:rFonts w:asciiTheme="minorEastAsia" w:hAnsiTheme="minorEastAsia"/>
          <w:bCs/>
          <w:kern w:val="0"/>
          <w:sz w:val="32"/>
          <w:szCs w:val="32"/>
        </w:rPr>
        <w:t>20</w:t>
      </w:r>
      <w:r>
        <w:rPr>
          <w:rFonts w:hint="eastAsia" w:asciiTheme="minorEastAsia" w:hAnsiTheme="minorEastAsia"/>
          <w:bCs/>
          <w:kern w:val="0"/>
          <w:sz w:val="32"/>
          <w:szCs w:val="32"/>
        </w:rPr>
        <w:t>20年度财政未安排专项资金，故无专项资金组织实施情况。</w:t>
      </w:r>
    </w:p>
    <w:p>
      <w:pPr>
        <w:widowControl/>
        <w:spacing w:line="600" w:lineRule="exact"/>
        <w:jc w:val="left"/>
        <w:rPr>
          <w:rFonts w:ascii="Times New Roman" w:hAnsi="Times New Roman" w:eastAsia="方正小标宋_GBK" w:cs="Times New Roman"/>
          <w:b/>
          <w:color w:val="000000"/>
          <w:kern w:val="0"/>
          <w:sz w:val="36"/>
          <w:szCs w:val="36"/>
        </w:rPr>
      </w:pPr>
      <w:r>
        <w:rPr>
          <w:rFonts w:hint="eastAsia" w:ascii="Times New Roman" w:hAnsi="Times New Roman" w:eastAsia="方正小标宋_GBK" w:cs="Times New Roman"/>
          <w:color w:val="000000"/>
          <w:kern w:val="0"/>
          <w:sz w:val="36"/>
          <w:szCs w:val="36"/>
        </w:rPr>
        <w:t>四、部门整体支出绩效情况</w:t>
      </w:r>
    </w:p>
    <w:p>
      <w:pPr>
        <w:widowControl/>
        <w:spacing w:line="600" w:lineRule="exact"/>
        <w:jc w:val="left"/>
        <w:rPr>
          <w:rFonts w:asciiTheme="minorEastAsia" w:hAnsiTheme="minorEastAsia"/>
          <w:bCs/>
          <w:kern w:val="0"/>
          <w:sz w:val="32"/>
          <w:szCs w:val="32"/>
        </w:rPr>
      </w:pPr>
      <w:r>
        <w:rPr>
          <w:rFonts w:hint="eastAsia" w:asciiTheme="minorEastAsia" w:hAnsiTheme="minorEastAsia"/>
          <w:bCs/>
          <w:kern w:val="0"/>
          <w:sz w:val="32"/>
          <w:szCs w:val="32"/>
        </w:rPr>
        <w:t>我所财政预算配置合理，财政供养人员控制率为</w:t>
      </w:r>
      <w:r>
        <w:rPr>
          <w:rFonts w:asciiTheme="minorEastAsia" w:hAnsiTheme="minorEastAsia"/>
          <w:bCs/>
          <w:kern w:val="0"/>
          <w:sz w:val="32"/>
          <w:szCs w:val="32"/>
        </w:rPr>
        <w:t>100%</w:t>
      </w:r>
      <w:r>
        <w:rPr>
          <w:rFonts w:hint="eastAsia" w:asciiTheme="minorEastAsia" w:hAnsiTheme="minorEastAsia"/>
          <w:bCs/>
          <w:kern w:val="0"/>
          <w:sz w:val="32"/>
          <w:szCs w:val="32"/>
        </w:rPr>
        <w:t>，“三公经费”的变动率为</w:t>
      </w:r>
      <w:r>
        <w:rPr>
          <w:rFonts w:asciiTheme="minorEastAsia" w:hAnsiTheme="minorEastAsia"/>
          <w:bCs/>
          <w:kern w:val="0"/>
          <w:sz w:val="32"/>
          <w:szCs w:val="32"/>
        </w:rPr>
        <w:t>0</w:t>
      </w:r>
      <w:r>
        <w:rPr>
          <w:rFonts w:hint="eastAsia" w:asciiTheme="minorEastAsia" w:hAnsiTheme="minorEastAsia"/>
          <w:bCs/>
          <w:kern w:val="0"/>
          <w:sz w:val="32"/>
          <w:szCs w:val="32"/>
        </w:rPr>
        <w:t>，重点支出安排率大于</w:t>
      </w:r>
      <w:r>
        <w:rPr>
          <w:rFonts w:asciiTheme="minorEastAsia" w:hAnsiTheme="minorEastAsia"/>
          <w:bCs/>
          <w:kern w:val="0"/>
          <w:sz w:val="32"/>
          <w:szCs w:val="32"/>
        </w:rPr>
        <w:t>90%</w:t>
      </w:r>
      <w:r>
        <w:rPr>
          <w:rFonts w:hint="eastAsia" w:asciiTheme="minorEastAsia" w:hAnsiTheme="minorEastAsia"/>
          <w:bCs/>
          <w:kern w:val="0"/>
          <w:sz w:val="32"/>
          <w:szCs w:val="32"/>
        </w:rPr>
        <w:t>。预算执行合理，预算调整率为</w:t>
      </w:r>
      <w:r>
        <w:rPr>
          <w:rFonts w:asciiTheme="minorEastAsia" w:hAnsiTheme="minorEastAsia"/>
          <w:bCs/>
          <w:kern w:val="0"/>
          <w:sz w:val="32"/>
          <w:szCs w:val="32"/>
        </w:rPr>
        <w:t>0</w:t>
      </w:r>
      <w:r>
        <w:rPr>
          <w:rFonts w:hint="eastAsia" w:asciiTheme="minorEastAsia" w:hAnsiTheme="minorEastAsia"/>
          <w:bCs/>
          <w:kern w:val="0"/>
          <w:sz w:val="32"/>
          <w:szCs w:val="32"/>
        </w:rPr>
        <w:t>，支出进度合理，年末无资金结余，“三公经费”控制率为</w:t>
      </w:r>
      <w:r>
        <w:rPr>
          <w:rFonts w:asciiTheme="minorEastAsia" w:hAnsiTheme="minorEastAsia"/>
          <w:bCs/>
          <w:kern w:val="0"/>
          <w:sz w:val="32"/>
          <w:szCs w:val="32"/>
        </w:rPr>
        <w:t>100%</w:t>
      </w:r>
      <w:r>
        <w:rPr>
          <w:rFonts w:hint="eastAsia" w:asciiTheme="minorEastAsia" w:hAnsiTheme="minorEastAsia"/>
          <w:bCs/>
          <w:kern w:val="0"/>
          <w:sz w:val="32"/>
          <w:szCs w:val="32"/>
        </w:rPr>
        <w:t>。预算管理过程严格，我所管理制度健全，资金使用合规，预决算信息公开完善。资产管理严格，管理制度健全，资产管理安全，利用率高。产出效果好。</w:t>
      </w:r>
    </w:p>
    <w:p>
      <w:pPr>
        <w:widowControl/>
        <w:spacing w:line="600" w:lineRule="exact"/>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五、存在的主要问题</w:t>
      </w:r>
    </w:p>
    <w:p>
      <w:pPr>
        <w:widowControl/>
        <w:spacing w:line="600" w:lineRule="exact"/>
        <w:jc w:val="left"/>
        <w:rPr>
          <w:rFonts w:asciiTheme="minorEastAsia" w:hAnsiTheme="minorEastAsia"/>
          <w:bCs/>
          <w:kern w:val="0"/>
          <w:sz w:val="32"/>
          <w:szCs w:val="32"/>
        </w:rPr>
      </w:pPr>
      <w:r>
        <w:rPr>
          <w:rFonts w:hint="eastAsia" w:asciiTheme="minorEastAsia" w:hAnsiTheme="minorEastAsia"/>
          <w:bCs/>
          <w:kern w:val="0"/>
          <w:sz w:val="32"/>
          <w:szCs w:val="32"/>
        </w:rPr>
        <w:t>我所财政拨款不足，已经出现连续亏损，目前靠附属单位上交利润维持经营运转。</w:t>
      </w:r>
    </w:p>
    <w:p>
      <w:pPr>
        <w:widowControl/>
        <w:spacing w:line="600" w:lineRule="exact"/>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六、改进措施和相关建议</w:t>
      </w:r>
    </w:p>
    <w:p>
      <w:pPr>
        <w:widowControl/>
        <w:spacing w:line="600" w:lineRule="exact"/>
        <w:jc w:val="left"/>
        <w:rPr>
          <w:rFonts w:asciiTheme="minorEastAsia" w:hAnsiTheme="minorEastAsia"/>
          <w:bCs/>
          <w:kern w:val="0"/>
          <w:sz w:val="32"/>
          <w:szCs w:val="32"/>
        </w:rPr>
      </w:pPr>
      <w:r>
        <w:rPr>
          <w:rFonts w:hint="eastAsia" w:asciiTheme="minorEastAsia" w:hAnsiTheme="minorEastAsia"/>
          <w:bCs/>
          <w:kern w:val="0"/>
          <w:sz w:val="32"/>
          <w:szCs w:val="32"/>
        </w:rPr>
        <w:t>2021年我所将充分利用好自身优势，积极开展地质钻探业务，为单位增加经济效益，也希望上级主管单位能加大对我所的固定资产的投入，使我所更快、更好的发展。</w:t>
      </w:r>
    </w:p>
    <w:p>
      <w:pPr>
        <w:spacing w:line="360" w:lineRule="auto"/>
        <w:ind w:firstLine="800" w:firstLineChars="250"/>
        <w:rPr>
          <w:rFonts w:asciiTheme="minorEastAsia" w:hAnsiTheme="minorEastAsia"/>
          <w:bCs/>
          <w:kern w:val="0"/>
          <w:sz w:val="32"/>
          <w:szCs w:val="32"/>
        </w:rPr>
      </w:pPr>
    </w:p>
    <w:p>
      <w:pPr>
        <w:spacing w:line="360" w:lineRule="auto"/>
        <w:rPr>
          <w:sz w:val="32"/>
          <w:szCs w:val="32"/>
        </w:rPr>
      </w:pPr>
    </w:p>
    <w:p>
      <w:pPr>
        <w:spacing w:line="360" w:lineRule="auto"/>
        <w:ind w:firstLine="800" w:firstLineChars="250"/>
        <w:rPr>
          <w:rFonts w:asciiTheme="minorEastAsia" w:hAnsiTheme="minorEastAsia"/>
          <w:bCs/>
          <w:kern w:val="0"/>
          <w:sz w:val="32"/>
          <w:szCs w:val="32"/>
        </w:rPr>
      </w:pPr>
      <w:r>
        <w:rPr>
          <w:rFonts w:hint="eastAsia" w:asciiTheme="minorEastAsia" w:hAnsiTheme="minorEastAsia"/>
          <w:bCs/>
          <w:kern w:val="0"/>
          <w:sz w:val="32"/>
          <w:szCs w:val="32"/>
        </w:rPr>
        <w:t>湖南省核工业地质局探矿技术研究所</w:t>
      </w:r>
    </w:p>
    <w:p>
      <w:pPr>
        <w:spacing w:line="360" w:lineRule="auto"/>
        <w:ind w:firstLine="800" w:firstLineChars="250"/>
        <w:rPr>
          <w:rFonts w:asciiTheme="minorEastAsia" w:hAnsiTheme="minorEastAsia"/>
          <w:bCs/>
          <w:kern w:val="0"/>
          <w:sz w:val="32"/>
          <w:szCs w:val="32"/>
        </w:rPr>
      </w:pPr>
      <w:r>
        <w:rPr>
          <w:rFonts w:asciiTheme="minorEastAsia" w:hAnsiTheme="minorEastAsia"/>
          <w:bCs/>
          <w:kern w:val="0"/>
          <w:sz w:val="32"/>
          <w:szCs w:val="32"/>
        </w:rPr>
        <w:t>20</w:t>
      </w:r>
      <w:r>
        <w:rPr>
          <w:rFonts w:hint="eastAsia" w:asciiTheme="minorEastAsia" w:hAnsiTheme="minorEastAsia"/>
          <w:bCs/>
          <w:kern w:val="0"/>
          <w:sz w:val="32"/>
          <w:szCs w:val="32"/>
        </w:rPr>
        <w:t xml:space="preserve">20年6月12日  </w:t>
      </w:r>
    </w:p>
    <w:p>
      <w:pPr>
        <w:spacing w:line="276" w:lineRule="auto"/>
        <w:rPr>
          <w:rFonts w:eastAsia="黑体"/>
          <w:sz w:val="32"/>
          <w:szCs w:val="32"/>
        </w:rPr>
      </w:pPr>
      <w:r>
        <w:rPr>
          <w:rFonts w:hint="eastAsia" w:eastAsia="黑体"/>
          <w:sz w:val="32"/>
          <w:szCs w:val="32"/>
        </w:rPr>
        <w:t>附件</w:t>
      </w:r>
      <w:r>
        <w:rPr>
          <w:rFonts w:eastAsia="黑体"/>
          <w:sz w:val="32"/>
          <w:szCs w:val="32"/>
        </w:rPr>
        <w:t>2</w:t>
      </w:r>
    </w:p>
    <w:p>
      <w:pPr>
        <w:spacing w:afterLines="50" w:line="600" w:lineRule="exact"/>
        <w:jc w:val="center"/>
        <w:rPr>
          <w:rFonts w:eastAsia="方正小标宋_GBK"/>
          <w:kern w:val="0"/>
          <w:sz w:val="36"/>
          <w:szCs w:val="36"/>
        </w:rPr>
      </w:pPr>
    </w:p>
    <w:p>
      <w:pPr>
        <w:spacing w:afterLines="50" w:line="600" w:lineRule="exact"/>
        <w:jc w:val="center"/>
        <w:rPr>
          <w:rFonts w:eastAsia="仿宋_GB2312"/>
          <w:kern w:val="0"/>
          <w:sz w:val="24"/>
        </w:rPr>
      </w:pPr>
      <w:r>
        <w:rPr>
          <w:rFonts w:eastAsia="方正小标宋_GBK"/>
          <w:kern w:val="0"/>
          <w:sz w:val="36"/>
          <w:szCs w:val="36"/>
        </w:rPr>
        <w:t>2020</w:t>
      </w:r>
      <w:r>
        <w:rPr>
          <w:rFonts w:hint="eastAsia" w:eastAsia="方正小标宋_GBK"/>
          <w:kern w:val="0"/>
          <w:sz w:val="36"/>
          <w:szCs w:val="36"/>
        </w:rPr>
        <w:t>年度单位整体支出绩效评价基础数据表</w:t>
      </w:r>
    </w:p>
    <w:tbl>
      <w:tblPr>
        <w:tblStyle w:val="5"/>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eastAsia="仿宋_GB2312"/>
                <w:b/>
                <w:bCs/>
                <w:kern w:val="0"/>
                <w:szCs w:val="21"/>
              </w:rPr>
              <w:t>2020</w:t>
            </w:r>
            <w:r>
              <w:rPr>
                <w:rFonts w:hint="eastAsia" w:eastAsia="仿宋_GB2312"/>
                <w:b/>
                <w:bCs/>
                <w:kern w:val="0"/>
                <w:szCs w:val="21"/>
              </w:rPr>
              <w:t>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45</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38</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100</w:t>
            </w:r>
          </w:p>
        </w:tc>
      </w:tr>
      <w:tr>
        <w:tblPrEx>
          <w:tblCellMar>
            <w:top w:w="0" w:type="dxa"/>
            <w:left w:w="108" w:type="dxa"/>
            <w:bottom w:w="0" w:type="dxa"/>
            <w:right w:w="108" w:type="dxa"/>
          </w:tblCellMar>
        </w:tblPrEx>
        <w:trPr>
          <w:trHeight w:val="413"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2019</w:t>
            </w:r>
            <w:r>
              <w:rPr>
                <w:rFonts w:hint="eastAsia" w:eastAsia="仿宋_GB2312"/>
                <w:b/>
                <w:bCs/>
                <w:kern w:val="0"/>
                <w:szCs w:val="21"/>
              </w:rPr>
              <w:t>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2020</w:t>
            </w:r>
            <w:r>
              <w:rPr>
                <w:rFonts w:hint="eastAsia" w:eastAsia="仿宋_GB2312"/>
                <w:b/>
                <w:bCs/>
                <w:kern w:val="0"/>
                <w:szCs w:val="21"/>
              </w:rPr>
              <w:t>年预算数</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2020</w:t>
            </w:r>
            <w:r>
              <w:rPr>
                <w:rFonts w:hint="eastAsia" w:eastAsia="仿宋_GB2312"/>
                <w:b/>
                <w:bCs/>
                <w:kern w:val="0"/>
                <w:szCs w:val="21"/>
              </w:rPr>
              <w:t>年决算数</w:t>
            </w:r>
          </w:p>
        </w:tc>
      </w:tr>
      <w:tr>
        <w:tblPrEx>
          <w:tblCellMar>
            <w:top w:w="0" w:type="dxa"/>
            <w:left w:w="108" w:type="dxa"/>
            <w:bottom w:w="0" w:type="dxa"/>
            <w:right w:w="108" w:type="dxa"/>
          </w:tblCellMar>
        </w:tblPrEx>
        <w:trPr>
          <w:trHeight w:val="493"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41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3</w:t>
            </w:r>
            <w:r>
              <w:rPr>
                <w:rFonts w:hint="eastAsia" w:eastAsia="仿宋_GB2312"/>
                <w:kern w:val="0"/>
                <w:szCs w:val="21"/>
              </w:rPr>
              <w:t>、公务接待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、扶贫专项经费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83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、科研经费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21</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3</w:t>
            </w:r>
            <w:r>
              <w:rPr>
                <w:rFonts w:hint="eastAsia" w:eastAsia="仿宋_GB2312"/>
                <w:kern w:val="0"/>
                <w:szCs w:val="21"/>
              </w:rPr>
              <w:t>、省级专项资金（一个专项一行）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color w:val="FF0000"/>
                <w:kern w:val="0"/>
                <w:szCs w:val="21"/>
              </w:rPr>
              <w:t>　</w:t>
            </w:r>
            <w:r>
              <w:rPr>
                <w:rFonts w:hint="eastAsia" w:eastAsia="仿宋_GB2312"/>
                <w:kern w:val="0"/>
                <w:szCs w:val="21"/>
              </w:rPr>
              <w:t>1.07</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1</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1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0.82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0.82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部门基本支出预算调整</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268.09</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343.44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413.84</w:t>
            </w:r>
          </w:p>
        </w:tc>
      </w:tr>
      <w:tr>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eastAsia="仿宋_GB2312"/>
                <w:kern w:val="0"/>
                <w:szCs w:val="21"/>
                <w:lang w:eastAsia="zh-CN"/>
              </w:rPr>
            </w:pPr>
            <w:r>
              <w:rPr>
                <w:rFonts w:hint="eastAsia" w:eastAsia="仿宋_GB2312"/>
                <w:kern w:val="0"/>
                <w:szCs w:val="21"/>
              </w:rPr>
              <w:t>楼堂馆所控制情况</w:t>
            </w:r>
          </w:p>
          <w:p>
            <w:pPr>
              <w:widowControl/>
              <w:jc w:val="center"/>
              <w:rPr>
                <w:rFonts w:eastAsia="仿宋_GB2312"/>
                <w:kern w:val="0"/>
                <w:szCs w:val="21"/>
              </w:rPr>
            </w:pPr>
            <w:r>
              <w:rPr>
                <w:rFonts w:hint="eastAsia" w:eastAsia="仿宋_GB2312"/>
                <w:kern w:val="0"/>
                <w:szCs w:val="21"/>
              </w:rPr>
              <w:t>（</w:t>
            </w:r>
            <w:r>
              <w:rPr>
                <w:rFonts w:eastAsia="仿宋_GB2312"/>
                <w:kern w:val="0"/>
                <w:szCs w:val="21"/>
              </w:rPr>
              <w:t>2020</w:t>
            </w:r>
            <w:r>
              <w:rPr>
                <w:rFonts w:hint="eastAsia" w:eastAsia="仿宋_GB2312"/>
                <w:kern w:val="0"/>
                <w:szCs w:val="21"/>
              </w:rPr>
              <w:t>年完工项目）</w:t>
            </w:r>
          </w:p>
        </w:tc>
        <w:tc>
          <w:tcPr>
            <w:tcW w:w="1189" w:type="dxa"/>
            <w:tcBorders>
              <w:top w:val="nil"/>
              <w:left w:val="nil"/>
              <w:bottom w:val="single" w:color="auto" w:sz="4" w:space="0"/>
              <w:right w:val="single" w:color="auto" w:sz="4" w:space="0"/>
            </w:tcBorders>
            <w:vAlign w:val="center"/>
          </w:tcPr>
          <w:p>
            <w:pPr>
              <w:widowControl/>
              <w:spacing w:line="240" w:lineRule="exact"/>
              <w:jc w:val="center"/>
              <w:rPr>
                <w:rFonts w:hint="eastAsia" w:eastAsia="仿宋_GB2312"/>
                <w:bCs/>
                <w:kern w:val="0"/>
                <w:szCs w:val="21"/>
                <w:lang w:eastAsia="zh-CN"/>
              </w:rPr>
            </w:pPr>
            <w:r>
              <w:rPr>
                <w:rFonts w:hint="eastAsia" w:eastAsia="仿宋_GB2312"/>
                <w:bCs/>
                <w:kern w:val="0"/>
                <w:szCs w:val="21"/>
              </w:rPr>
              <w:t>批复规模</w:t>
            </w:r>
          </w:p>
          <w:p>
            <w:pPr>
              <w:widowControl/>
              <w:spacing w:line="240" w:lineRule="exact"/>
              <w:jc w:val="center"/>
              <w:rPr>
                <w:rFonts w:eastAsia="仿宋_GB2312"/>
                <w:bCs/>
                <w:kern w:val="0"/>
                <w:szCs w:val="21"/>
              </w:rPr>
            </w:pPr>
            <w:r>
              <w:rPr>
                <w:rFonts w:hint="eastAsia" w:eastAsia="仿宋_GB2312"/>
                <w:bCs/>
                <w:kern w:val="0"/>
                <w:szCs w:val="21"/>
              </w:rPr>
              <w:t>（</w:t>
            </w:r>
            <w:r>
              <w:rPr>
                <w:rFonts w:hint="eastAsia"/>
                <w:bCs/>
                <w:kern w:val="0"/>
                <w:szCs w:val="21"/>
              </w:rPr>
              <w:t>㎡</w:t>
            </w:r>
            <w:r>
              <w:rPr>
                <w:rFonts w:hint="eastAsia" w:eastAsia="仿宋_GB2312"/>
                <w:bCs/>
                <w:kern w:val="0"/>
                <w:szCs w:val="21"/>
              </w:rPr>
              <w:t>）</w:t>
            </w:r>
          </w:p>
        </w:tc>
        <w:tc>
          <w:tcPr>
            <w:tcW w:w="84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bCs/>
                <w:kern w:val="0"/>
                <w:szCs w:val="21"/>
              </w:rPr>
              <w:t>㎡</w:t>
            </w:r>
            <w:r>
              <w:rPr>
                <w:rFonts w:hint="eastAsia" w:eastAsia="仿宋_GB2312"/>
                <w:bCs/>
                <w:kern w:val="0"/>
                <w:szCs w:val="21"/>
              </w:rPr>
              <w:t>）</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11"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863"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投资概算控制率</w:t>
            </w:r>
          </w:p>
        </w:tc>
      </w:tr>
      <w:tr>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1189"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0　</w:t>
            </w:r>
          </w:p>
        </w:tc>
        <w:tc>
          <w:tcPr>
            <w:tcW w:w="84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112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1111"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96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863"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r>
      <w:tr>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压缩日常公用经费支出5万元，情况良好。　</w:t>
            </w:r>
          </w:p>
        </w:tc>
      </w:tr>
    </w:tbl>
    <w:p>
      <w:pPr>
        <w:widowControl/>
        <w:jc w:val="left"/>
        <w:rPr>
          <w:rFonts w:ascii="Times New Roman" w:eastAsia="仿宋_GB2312"/>
          <w:kern w:val="0"/>
          <w:sz w:val="22"/>
          <w:szCs w:val="24"/>
        </w:rPr>
        <w:sectPr>
          <w:headerReference r:id="rId3" w:type="default"/>
          <w:footerReference r:id="rId4" w:type="default"/>
          <w:footerReference r:id="rId5" w:type="even"/>
          <w:pgSz w:w="11905" w:h="16837"/>
          <w:pgMar w:top="1418" w:right="1588" w:bottom="1418" w:left="1588" w:header="720" w:footer="1701" w:gutter="0"/>
          <w:pgNumType w:start="1"/>
          <w:cols w:space="720" w:num="1"/>
          <w:docGrid w:linePitch="636" w:charSpace="20838"/>
        </w:sect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Style w:val="7"/>
        <w:rFonts w:hint="eastAsia" w:cs="宋体"/>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4</w:t>
    </w:r>
    <w:r>
      <w:rPr>
        <w:sz w:val="28"/>
        <w:szCs w:val="28"/>
      </w:rPr>
      <w:fldChar w:fldCharType="end"/>
    </w:r>
    <w:r>
      <w:rPr>
        <w:rStyle w:val="7"/>
        <w:rFonts w:hint="eastAsia" w:cs="宋体"/>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035D5"/>
    <w:multiLevelType w:val="singleLevel"/>
    <w:tmpl w:val="9A6035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MmY0OGJjNmMxMWU1MmY1ZGQ4NmJmNGU1NTUxMjMifQ=="/>
  </w:docVars>
  <w:rsids>
    <w:rsidRoot w:val="004506F9"/>
    <w:rsid w:val="00012EFC"/>
    <w:rsid w:val="00014B12"/>
    <w:rsid w:val="0002229B"/>
    <w:rsid w:val="000273BD"/>
    <w:rsid w:val="000415B7"/>
    <w:rsid w:val="00041E3F"/>
    <w:rsid w:val="00055DAA"/>
    <w:rsid w:val="00061F7B"/>
    <w:rsid w:val="000658A3"/>
    <w:rsid w:val="00074155"/>
    <w:rsid w:val="000914EF"/>
    <w:rsid w:val="000A0BD4"/>
    <w:rsid w:val="000A3F69"/>
    <w:rsid w:val="00101AC7"/>
    <w:rsid w:val="00103957"/>
    <w:rsid w:val="00124E44"/>
    <w:rsid w:val="00125575"/>
    <w:rsid w:val="00152C6D"/>
    <w:rsid w:val="001570B4"/>
    <w:rsid w:val="00162D39"/>
    <w:rsid w:val="00164223"/>
    <w:rsid w:val="001678BD"/>
    <w:rsid w:val="001A2990"/>
    <w:rsid w:val="001A67DB"/>
    <w:rsid w:val="001A7DDD"/>
    <w:rsid w:val="001C39B3"/>
    <w:rsid w:val="001C3C29"/>
    <w:rsid w:val="001D51E5"/>
    <w:rsid w:val="001E080D"/>
    <w:rsid w:val="001E53D0"/>
    <w:rsid w:val="001F0C3B"/>
    <w:rsid w:val="00202C82"/>
    <w:rsid w:val="00206580"/>
    <w:rsid w:val="00214427"/>
    <w:rsid w:val="00226CB7"/>
    <w:rsid w:val="00264552"/>
    <w:rsid w:val="00264EF9"/>
    <w:rsid w:val="00265724"/>
    <w:rsid w:val="0027426B"/>
    <w:rsid w:val="00280F61"/>
    <w:rsid w:val="002A5C27"/>
    <w:rsid w:val="002B02E7"/>
    <w:rsid w:val="002D0962"/>
    <w:rsid w:val="002E0A30"/>
    <w:rsid w:val="003130C4"/>
    <w:rsid w:val="00316C4B"/>
    <w:rsid w:val="0032192B"/>
    <w:rsid w:val="003479BD"/>
    <w:rsid w:val="0035649C"/>
    <w:rsid w:val="0037197D"/>
    <w:rsid w:val="003768D5"/>
    <w:rsid w:val="0039703B"/>
    <w:rsid w:val="003C46D6"/>
    <w:rsid w:val="003C47E6"/>
    <w:rsid w:val="003C4FC2"/>
    <w:rsid w:val="003E6F2D"/>
    <w:rsid w:val="00402DCB"/>
    <w:rsid w:val="00416E61"/>
    <w:rsid w:val="00417CC5"/>
    <w:rsid w:val="0042790C"/>
    <w:rsid w:val="0043657F"/>
    <w:rsid w:val="004506F9"/>
    <w:rsid w:val="004717A2"/>
    <w:rsid w:val="00473DF3"/>
    <w:rsid w:val="00487911"/>
    <w:rsid w:val="00491741"/>
    <w:rsid w:val="00491BD6"/>
    <w:rsid w:val="004B18DF"/>
    <w:rsid w:val="004F764B"/>
    <w:rsid w:val="00500E5F"/>
    <w:rsid w:val="0050118A"/>
    <w:rsid w:val="005122EF"/>
    <w:rsid w:val="0051441A"/>
    <w:rsid w:val="00517C33"/>
    <w:rsid w:val="00522BF0"/>
    <w:rsid w:val="00523644"/>
    <w:rsid w:val="00525F50"/>
    <w:rsid w:val="0054069E"/>
    <w:rsid w:val="00544866"/>
    <w:rsid w:val="005767CC"/>
    <w:rsid w:val="00590D9F"/>
    <w:rsid w:val="0059481F"/>
    <w:rsid w:val="00595D26"/>
    <w:rsid w:val="005A74E6"/>
    <w:rsid w:val="005B3E4D"/>
    <w:rsid w:val="005B404E"/>
    <w:rsid w:val="005D4D55"/>
    <w:rsid w:val="005E2CFB"/>
    <w:rsid w:val="005F3D1C"/>
    <w:rsid w:val="00620D30"/>
    <w:rsid w:val="00623287"/>
    <w:rsid w:val="0062378F"/>
    <w:rsid w:val="00633286"/>
    <w:rsid w:val="00641842"/>
    <w:rsid w:val="00651EEC"/>
    <w:rsid w:val="00654A50"/>
    <w:rsid w:val="0068540F"/>
    <w:rsid w:val="00686673"/>
    <w:rsid w:val="00690CCF"/>
    <w:rsid w:val="00691E8C"/>
    <w:rsid w:val="00695C73"/>
    <w:rsid w:val="006A22C4"/>
    <w:rsid w:val="006A351B"/>
    <w:rsid w:val="006B0422"/>
    <w:rsid w:val="006C1B53"/>
    <w:rsid w:val="006D7730"/>
    <w:rsid w:val="006E5146"/>
    <w:rsid w:val="006E5284"/>
    <w:rsid w:val="006F3EB5"/>
    <w:rsid w:val="00702E34"/>
    <w:rsid w:val="00704395"/>
    <w:rsid w:val="00717621"/>
    <w:rsid w:val="00720FF1"/>
    <w:rsid w:val="00727A53"/>
    <w:rsid w:val="0075200B"/>
    <w:rsid w:val="0077555E"/>
    <w:rsid w:val="0078127A"/>
    <w:rsid w:val="00787B42"/>
    <w:rsid w:val="00791800"/>
    <w:rsid w:val="007C2910"/>
    <w:rsid w:val="007C4539"/>
    <w:rsid w:val="007E47CA"/>
    <w:rsid w:val="007F3657"/>
    <w:rsid w:val="00812ED5"/>
    <w:rsid w:val="00817F03"/>
    <w:rsid w:val="008277D9"/>
    <w:rsid w:val="00831EA2"/>
    <w:rsid w:val="0084478C"/>
    <w:rsid w:val="0085650C"/>
    <w:rsid w:val="0086638C"/>
    <w:rsid w:val="00880118"/>
    <w:rsid w:val="008A3E8D"/>
    <w:rsid w:val="008C0588"/>
    <w:rsid w:val="008F11AA"/>
    <w:rsid w:val="008F789E"/>
    <w:rsid w:val="0090406F"/>
    <w:rsid w:val="0091462B"/>
    <w:rsid w:val="0092329F"/>
    <w:rsid w:val="009237C4"/>
    <w:rsid w:val="00944C48"/>
    <w:rsid w:val="00950252"/>
    <w:rsid w:val="00967F5D"/>
    <w:rsid w:val="00983366"/>
    <w:rsid w:val="009A0F95"/>
    <w:rsid w:val="009B0EC4"/>
    <w:rsid w:val="009B0FBD"/>
    <w:rsid w:val="009B3ADF"/>
    <w:rsid w:val="009C3B52"/>
    <w:rsid w:val="009E6817"/>
    <w:rsid w:val="009E6E9A"/>
    <w:rsid w:val="00A01D2B"/>
    <w:rsid w:val="00A06441"/>
    <w:rsid w:val="00A42218"/>
    <w:rsid w:val="00A70249"/>
    <w:rsid w:val="00A70B02"/>
    <w:rsid w:val="00A71D9F"/>
    <w:rsid w:val="00A92E9F"/>
    <w:rsid w:val="00AB3081"/>
    <w:rsid w:val="00AB3FE2"/>
    <w:rsid w:val="00B33BEA"/>
    <w:rsid w:val="00B4305E"/>
    <w:rsid w:val="00B57C9F"/>
    <w:rsid w:val="00B63572"/>
    <w:rsid w:val="00B845B3"/>
    <w:rsid w:val="00B85D8B"/>
    <w:rsid w:val="00BB1585"/>
    <w:rsid w:val="00BB4A40"/>
    <w:rsid w:val="00BD6C3E"/>
    <w:rsid w:val="00BE3674"/>
    <w:rsid w:val="00BE36FB"/>
    <w:rsid w:val="00BF29FB"/>
    <w:rsid w:val="00C10681"/>
    <w:rsid w:val="00C3049A"/>
    <w:rsid w:val="00C31B1E"/>
    <w:rsid w:val="00C4123A"/>
    <w:rsid w:val="00C45F8A"/>
    <w:rsid w:val="00C77645"/>
    <w:rsid w:val="00CB3262"/>
    <w:rsid w:val="00CD576B"/>
    <w:rsid w:val="00CE04C3"/>
    <w:rsid w:val="00CE5BDE"/>
    <w:rsid w:val="00CE76A0"/>
    <w:rsid w:val="00D05AC0"/>
    <w:rsid w:val="00D148C6"/>
    <w:rsid w:val="00D17A8A"/>
    <w:rsid w:val="00D35466"/>
    <w:rsid w:val="00D41003"/>
    <w:rsid w:val="00D415BA"/>
    <w:rsid w:val="00D44110"/>
    <w:rsid w:val="00D644EE"/>
    <w:rsid w:val="00D849D5"/>
    <w:rsid w:val="00D90109"/>
    <w:rsid w:val="00DB5D66"/>
    <w:rsid w:val="00DC5F78"/>
    <w:rsid w:val="00DC713B"/>
    <w:rsid w:val="00DD06FF"/>
    <w:rsid w:val="00DD5FE9"/>
    <w:rsid w:val="00E00C7A"/>
    <w:rsid w:val="00E37D6C"/>
    <w:rsid w:val="00E55B68"/>
    <w:rsid w:val="00E67BE6"/>
    <w:rsid w:val="00E67C6E"/>
    <w:rsid w:val="00E74A4E"/>
    <w:rsid w:val="00E75E4F"/>
    <w:rsid w:val="00E85935"/>
    <w:rsid w:val="00E86384"/>
    <w:rsid w:val="00E8683C"/>
    <w:rsid w:val="00E9796B"/>
    <w:rsid w:val="00EA2B72"/>
    <w:rsid w:val="00F10499"/>
    <w:rsid w:val="00F74360"/>
    <w:rsid w:val="00FB462F"/>
    <w:rsid w:val="00FC1A8C"/>
    <w:rsid w:val="00FD76DF"/>
    <w:rsid w:val="00FE16FA"/>
    <w:rsid w:val="00FE328A"/>
    <w:rsid w:val="00FE6269"/>
    <w:rsid w:val="00FF5CD6"/>
    <w:rsid w:val="01FF4759"/>
    <w:rsid w:val="022C2D03"/>
    <w:rsid w:val="05422270"/>
    <w:rsid w:val="118A0FD0"/>
    <w:rsid w:val="11E214A1"/>
    <w:rsid w:val="1284524E"/>
    <w:rsid w:val="17D076C7"/>
    <w:rsid w:val="1FE65F6B"/>
    <w:rsid w:val="272B12BF"/>
    <w:rsid w:val="33D962D0"/>
    <w:rsid w:val="3DBFCE6A"/>
    <w:rsid w:val="46301C45"/>
    <w:rsid w:val="47963CA7"/>
    <w:rsid w:val="4FBD63D3"/>
    <w:rsid w:val="4FCD383B"/>
    <w:rsid w:val="52245D8B"/>
    <w:rsid w:val="522D3402"/>
    <w:rsid w:val="57FB3981"/>
    <w:rsid w:val="58E60A5F"/>
    <w:rsid w:val="59E751E4"/>
    <w:rsid w:val="5E781EA8"/>
    <w:rsid w:val="5E830C48"/>
    <w:rsid w:val="5F963DD7"/>
    <w:rsid w:val="62CB5008"/>
    <w:rsid w:val="6FCB573A"/>
    <w:rsid w:val="73521EA3"/>
    <w:rsid w:val="7A322328"/>
    <w:rsid w:val="7D1E7EA5"/>
    <w:rsid w:val="F6EEC08E"/>
    <w:rsid w:val="FBE12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6759</Words>
  <Characters>8618</Characters>
  <Lines>81</Lines>
  <Paragraphs>23</Paragraphs>
  <TotalTime>0</TotalTime>
  <ScaleCrop>false</ScaleCrop>
  <LinksUpToDate>false</LinksUpToDate>
  <CharactersWithSpaces>9631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2020-07-02T18:32:00Z</dcterms:created>
  <dc:creator>李航 null</dc:creator>
  <cp:lastModifiedBy>kx</cp:lastModifiedBy>
  <cp:lastPrinted>2021-08-06T00:54:00Z</cp:lastPrinted>
  <dcterms:modified xsi:type="dcterms:W3CDTF">2022-09-09T11:10:00Z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360D3BD78C064A0A80A0AB1105A87984</vt:lpwstr>
  </property>
</Properties>
</file>