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72"/>
          <w:szCs w:val="72"/>
          <w:highlight w:val="none"/>
        </w:rPr>
      </w:pPr>
    </w:p>
    <w:p>
      <w:pPr>
        <w:pStyle w:val="11"/>
        <w:jc w:val="center"/>
        <w:rPr>
          <w:sz w:val="84"/>
          <w:szCs w:val="84"/>
          <w:highlight w:val="none"/>
        </w:rPr>
      </w:pPr>
    </w:p>
    <w:p>
      <w:pPr>
        <w:pStyle w:val="11"/>
        <w:jc w:val="center"/>
        <w:rPr>
          <w:sz w:val="84"/>
          <w:szCs w:val="84"/>
          <w:highlight w:val="none"/>
        </w:rPr>
      </w:pPr>
      <w:r>
        <w:rPr>
          <w:rFonts w:hint="eastAsia"/>
          <w:sz w:val="84"/>
          <w:szCs w:val="84"/>
          <w:highlight w:val="none"/>
        </w:rPr>
        <w:t>2020年度</w:t>
      </w:r>
    </w:p>
    <w:p>
      <w:pPr>
        <w:pStyle w:val="11"/>
        <w:jc w:val="center"/>
        <w:rPr>
          <w:sz w:val="84"/>
          <w:szCs w:val="84"/>
          <w:highlight w:val="none"/>
        </w:rPr>
      </w:pPr>
      <w:r>
        <w:rPr>
          <w:rFonts w:hint="eastAsia"/>
          <w:sz w:val="84"/>
          <w:szCs w:val="84"/>
          <w:highlight w:val="none"/>
        </w:rPr>
        <w:t>湖南有色地质工程测试研究中心部门决算</w:t>
      </w:r>
    </w:p>
    <w:p>
      <w:pPr>
        <w:pStyle w:val="11"/>
        <w:jc w:val="center"/>
        <w:rPr>
          <w:sz w:val="56"/>
          <w:szCs w:val="56"/>
          <w:highlight w:val="none"/>
        </w:rPr>
      </w:pPr>
    </w:p>
    <w:p>
      <w:pPr>
        <w:pStyle w:val="11"/>
        <w:jc w:val="center"/>
        <w:rPr>
          <w:sz w:val="56"/>
          <w:szCs w:val="56"/>
          <w:highlight w:val="none"/>
        </w:rPr>
      </w:pPr>
    </w:p>
    <w:p>
      <w:pPr>
        <w:pStyle w:val="11"/>
        <w:jc w:val="center"/>
        <w:rPr>
          <w:sz w:val="56"/>
          <w:szCs w:val="56"/>
          <w:highlight w:val="none"/>
        </w:rPr>
      </w:pPr>
    </w:p>
    <w:p>
      <w:pPr>
        <w:pStyle w:val="11"/>
        <w:jc w:val="center"/>
        <w:rPr>
          <w:sz w:val="56"/>
          <w:szCs w:val="56"/>
          <w:highlight w:val="none"/>
        </w:rPr>
      </w:pPr>
    </w:p>
    <w:p>
      <w:pPr>
        <w:pStyle w:val="11"/>
        <w:jc w:val="center"/>
        <w:rPr>
          <w:sz w:val="32"/>
          <w:szCs w:val="32"/>
          <w:highlight w:val="none"/>
        </w:rPr>
      </w:pPr>
    </w:p>
    <w:p>
      <w:pPr>
        <w:pStyle w:val="11"/>
        <w:jc w:val="center"/>
        <w:rPr>
          <w:sz w:val="32"/>
          <w:szCs w:val="32"/>
          <w:highlight w:val="none"/>
        </w:rPr>
      </w:pPr>
    </w:p>
    <w:p>
      <w:pPr>
        <w:pStyle w:val="11"/>
        <w:jc w:val="center"/>
        <w:rPr>
          <w:sz w:val="32"/>
          <w:szCs w:val="32"/>
          <w:highlight w:val="none"/>
        </w:rPr>
      </w:pPr>
    </w:p>
    <w:p>
      <w:pPr>
        <w:pStyle w:val="11"/>
        <w:jc w:val="center"/>
        <w:rPr>
          <w:sz w:val="32"/>
          <w:szCs w:val="32"/>
          <w:highlight w:val="none"/>
        </w:rPr>
      </w:pPr>
    </w:p>
    <w:p>
      <w:pPr>
        <w:pStyle w:val="11"/>
        <w:jc w:val="center"/>
        <w:rPr>
          <w:sz w:val="32"/>
          <w:szCs w:val="32"/>
          <w:highlight w:val="none"/>
        </w:rPr>
      </w:pPr>
    </w:p>
    <w:p>
      <w:pPr>
        <w:pStyle w:val="11"/>
        <w:jc w:val="center"/>
        <w:rPr>
          <w:sz w:val="32"/>
          <w:szCs w:val="32"/>
          <w:highlight w:val="none"/>
        </w:rPr>
      </w:pPr>
    </w:p>
    <w:p>
      <w:pPr>
        <w:pStyle w:val="11"/>
        <w:jc w:val="center"/>
        <w:rPr>
          <w:sz w:val="32"/>
          <w:szCs w:val="32"/>
          <w:highlight w:val="none"/>
        </w:rPr>
      </w:pPr>
    </w:p>
    <w:p>
      <w:pPr>
        <w:pStyle w:val="11"/>
        <w:jc w:val="center"/>
        <w:rPr>
          <w:sz w:val="32"/>
          <w:szCs w:val="32"/>
          <w:highlight w:val="none"/>
        </w:rPr>
      </w:pPr>
    </w:p>
    <w:p>
      <w:pPr>
        <w:pStyle w:val="11"/>
        <w:jc w:val="center"/>
        <w:rPr>
          <w:sz w:val="32"/>
          <w:szCs w:val="32"/>
          <w:highlight w:val="none"/>
        </w:rPr>
      </w:pPr>
    </w:p>
    <w:p>
      <w:pPr>
        <w:pStyle w:val="11"/>
        <w:spacing w:line="500" w:lineRule="exact"/>
        <w:jc w:val="center"/>
        <w:rPr>
          <w:b/>
          <w:sz w:val="36"/>
          <w:szCs w:val="28"/>
          <w:highlight w:val="none"/>
        </w:rPr>
      </w:pPr>
      <w:r>
        <w:rPr>
          <w:rFonts w:hint="eastAsia"/>
          <w:b/>
          <w:sz w:val="36"/>
          <w:szCs w:val="28"/>
          <w:highlight w:val="none"/>
        </w:rPr>
        <w:t>目录</w:t>
      </w:r>
    </w:p>
    <w:p>
      <w:pPr>
        <w:pStyle w:val="11"/>
        <w:spacing w:line="500" w:lineRule="exact"/>
        <w:rPr>
          <w:rFonts w:ascii="仿宋_GB2312" w:hAnsi="仿宋_GB2312" w:cs="仿宋_GB2312"/>
          <w:b/>
          <w:sz w:val="28"/>
          <w:szCs w:val="28"/>
          <w:highlight w:val="none"/>
        </w:rPr>
      </w:pPr>
      <w:r>
        <w:rPr>
          <w:rFonts w:hint="eastAsia"/>
          <w:b/>
          <w:sz w:val="28"/>
          <w:szCs w:val="28"/>
          <w:highlight w:val="none"/>
        </w:rPr>
        <w:t>第一部分湖南有色地质工程测试研究中心单位概况</w:t>
      </w:r>
    </w:p>
    <w:p>
      <w:pPr>
        <w:pStyle w:val="11"/>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一、部门职责</w:t>
      </w:r>
    </w:p>
    <w:p>
      <w:pPr>
        <w:pStyle w:val="11"/>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二、机构设置</w:t>
      </w:r>
    </w:p>
    <w:p>
      <w:pPr>
        <w:pStyle w:val="11"/>
        <w:spacing w:line="500" w:lineRule="exact"/>
        <w:rPr>
          <w:rFonts w:ascii="仿宋_GB2312" w:hAnsi="仿宋_GB2312" w:cs="仿宋_GB2312"/>
          <w:b/>
          <w:sz w:val="28"/>
          <w:szCs w:val="28"/>
          <w:highlight w:val="none"/>
        </w:rPr>
      </w:pPr>
      <w:r>
        <w:rPr>
          <w:rFonts w:hint="eastAsia" w:hAnsi="仿宋_GB2312"/>
          <w:b/>
          <w:sz w:val="28"/>
          <w:szCs w:val="28"/>
          <w:highlight w:val="none"/>
        </w:rPr>
        <w:t>第二部分</w:t>
      </w:r>
      <w:r>
        <w:rPr>
          <w:rFonts w:hAnsi="仿宋_GB2312"/>
          <w:b/>
          <w:sz w:val="28"/>
          <w:szCs w:val="28"/>
          <w:highlight w:val="none"/>
        </w:rPr>
        <w:t>20</w:t>
      </w:r>
      <w:r>
        <w:rPr>
          <w:rFonts w:hint="eastAsia" w:hAnsi="仿宋_GB2312"/>
          <w:b/>
          <w:sz w:val="28"/>
          <w:szCs w:val="28"/>
          <w:highlight w:val="none"/>
        </w:rPr>
        <w:t>20年度部门决算表</w:t>
      </w:r>
    </w:p>
    <w:p>
      <w:pPr>
        <w:pStyle w:val="11"/>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一、收入支出决算总表</w:t>
      </w:r>
    </w:p>
    <w:p>
      <w:pPr>
        <w:pStyle w:val="11"/>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二、收入决算表</w:t>
      </w:r>
    </w:p>
    <w:p>
      <w:pPr>
        <w:pStyle w:val="11"/>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三、支出决算表</w:t>
      </w:r>
    </w:p>
    <w:p>
      <w:pPr>
        <w:pStyle w:val="11"/>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四、财政拨款收入支出决算总表</w:t>
      </w:r>
    </w:p>
    <w:p>
      <w:pPr>
        <w:pStyle w:val="11"/>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五、一般公共预算财政拨款支出决算表</w:t>
      </w:r>
    </w:p>
    <w:p>
      <w:pPr>
        <w:pStyle w:val="11"/>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六、一般公共预算财政拨款基本支出决算表</w:t>
      </w:r>
    </w:p>
    <w:p>
      <w:pPr>
        <w:pStyle w:val="11"/>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七、一般公共预算财政拨款“三公”经费支出决算表</w:t>
      </w:r>
    </w:p>
    <w:p>
      <w:pPr>
        <w:pStyle w:val="11"/>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八、政府性基金预算财政拨款收入支出决算表</w:t>
      </w:r>
    </w:p>
    <w:p>
      <w:pPr>
        <w:pStyle w:val="11"/>
        <w:spacing w:line="500" w:lineRule="exact"/>
        <w:ind w:firstLine="700" w:firstLineChars="250"/>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九、国有资本经营预算财政拨款支出决算表</w:t>
      </w:r>
    </w:p>
    <w:p>
      <w:pPr>
        <w:pStyle w:val="11"/>
        <w:spacing w:line="500" w:lineRule="exact"/>
        <w:rPr>
          <w:rFonts w:ascii="仿宋_GB2312" w:hAnsi="仿宋_GB2312" w:cs="仿宋_GB2312"/>
          <w:b/>
          <w:sz w:val="28"/>
          <w:szCs w:val="28"/>
          <w:highlight w:val="none"/>
        </w:rPr>
      </w:pPr>
      <w:r>
        <w:rPr>
          <w:rFonts w:hint="eastAsia" w:hAnsi="仿宋_GB2312"/>
          <w:b/>
          <w:sz w:val="28"/>
          <w:szCs w:val="28"/>
          <w:highlight w:val="none"/>
        </w:rPr>
        <w:t>第三部分</w:t>
      </w:r>
      <w:r>
        <w:rPr>
          <w:rFonts w:hAnsi="仿宋_GB2312"/>
          <w:b/>
          <w:sz w:val="28"/>
          <w:szCs w:val="28"/>
          <w:highlight w:val="none"/>
        </w:rPr>
        <w:t>20</w:t>
      </w:r>
      <w:r>
        <w:rPr>
          <w:rFonts w:hint="eastAsia" w:hAnsi="仿宋_GB2312"/>
          <w:b/>
          <w:sz w:val="28"/>
          <w:szCs w:val="28"/>
          <w:highlight w:val="none"/>
        </w:rPr>
        <w:t>20年度部门决算情况说明</w:t>
      </w:r>
    </w:p>
    <w:p>
      <w:pPr>
        <w:pStyle w:val="11"/>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一、收入支出决算总体情况说明</w:t>
      </w:r>
    </w:p>
    <w:p>
      <w:pPr>
        <w:spacing w:line="500" w:lineRule="exact"/>
        <w:ind w:firstLine="700" w:firstLineChars="250"/>
        <w:jc w:val="left"/>
        <w:rPr>
          <w:rFonts w:ascii="仿宋_GB2312" w:hAnsi="仿宋_GB2312" w:cs="仿宋_GB2312"/>
          <w:sz w:val="28"/>
          <w:szCs w:val="28"/>
          <w:highlight w:val="none"/>
        </w:rPr>
      </w:pPr>
      <w:r>
        <w:rPr>
          <w:rFonts w:ascii="仿宋_GB2312" w:hAnsi="仿宋_GB2312" w:cs="仿宋_GB2312"/>
          <w:sz w:val="28"/>
          <w:szCs w:val="28"/>
          <w:highlight w:val="none"/>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ascii="仿宋_GB2312" w:hAnsi="仿宋_GB2312" w:cs="仿宋_GB2312"/>
          <w:color w:val="000000"/>
          <w:kern w:val="0"/>
          <w:sz w:val="28"/>
          <w:szCs w:val="28"/>
          <w:highlight w:val="none"/>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ascii="仿宋_GB2312" w:hAnsi="仿宋_GB2312" w:cs="仿宋_GB2312"/>
          <w:color w:val="000000"/>
          <w:kern w:val="0"/>
          <w:sz w:val="28"/>
          <w:szCs w:val="28"/>
          <w:highlight w:val="none"/>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ascii="仿宋_GB2312" w:hAnsi="仿宋_GB2312" w:cs="仿宋_GB2312"/>
          <w:color w:val="000000"/>
          <w:kern w:val="0"/>
          <w:sz w:val="28"/>
          <w:szCs w:val="28"/>
          <w:highlight w:val="none"/>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ascii="仿宋_GB2312" w:hAnsi="仿宋_GB2312" w:cs="仿宋_GB2312"/>
          <w:color w:val="000000"/>
          <w:kern w:val="0"/>
          <w:sz w:val="28"/>
          <w:szCs w:val="28"/>
          <w:highlight w:val="none"/>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ascii="仿宋_GB2312" w:hAnsi="仿宋_GB2312" w:cs="仿宋_GB2312"/>
          <w:color w:val="000000"/>
          <w:kern w:val="0"/>
          <w:sz w:val="28"/>
          <w:szCs w:val="28"/>
          <w:highlight w:val="none"/>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hint="eastAsia" w:ascii="仿宋_GB2312" w:hAnsi="仿宋_GB2312" w:cs="仿宋_GB2312"/>
          <w:color w:val="000000"/>
          <w:kern w:val="0"/>
          <w:sz w:val="28"/>
          <w:szCs w:val="28"/>
          <w:highlight w:val="none"/>
        </w:rPr>
        <w:t>八</w:t>
      </w:r>
      <w:r>
        <w:rPr>
          <w:rFonts w:ascii="仿宋_GB2312" w:hAnsi="仿宋_GB2312" w:cs="仿宋_GB2312"/>
          <w:color w:val="000000"/>
          <w:kern w:val="0"/>
          <w:sz w:val="28"/>
          <w:szCs w:val="28"/>
          <w:highlight w:val="none"/>
        </w:rPr>
        <w:t>、</w:t>
      </w:r>
      <w:r>
        <w:rPr>
          <w:rFonts w:hint="eastAsia" w:ascii="仿宋_GB2312" w:hAnsi="仿宋_GB2312" w:cs="仿宋_GB2312"/>
          <w:color w:val="000000"/>
          <w:kern w:val="0"/>
          <w:sz w:val="28"/>
          <w:szCs w:val="28"/>
          <w:highlight w:val="none"/>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hint="eastAsia" w:ascii="仿宋_GB2312" w:hAnsi="仿宋_GB2312" w:cs="仿宋_GB2312"/>
          <w:color w:val="000000"/>
          <w:kern w:val="0"/>
          <w:sz w:val="28"/>
          <w:szCs w:val="28"/>
          <w:highlight w:val="none"/>
        </w:rPr>
        <w:t>九</w:t>
      </w:r>
      <w:r>
        <w:rPr>
          <w:rFonts w:ascii="仿宋_GB2312" w:hAnsi="仿宋_GB2312" w:cs="仿宋_GB2312"/>
          <w:color w:val="000000"/>
          <w:kern w:val="0"/>
          <w:sz w:val="28"/>
          <w:szCs w:val="28"/>
          <w:highlight w:val="none"/>
        </w:rPr>
        <w:t>、</w:t>
      </w:r>
      <w:r>
        <w:rPr>
          <w:rFonts w:hint="eastAsia" w:ascii="仿宋_GB2312" w:hAnsi="仿宋_GB2312" w:cs="仿宋_GB2312"/>
          <w:color w:val="000000"/>
          <w:kern w:val="0"/>
          <w:sz w:val="28"/>
          <w:szCs w:val="28"/>
          <w:highlight w:val="none"/>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hint="eastAsia" w:ascii="仿宋_GB2312" w:hAnsi="仿宋_GB2312" w:cs="仿宋_GB2312"/>
          <w:color w:val="000000"/>
          <w:kern w:val="0"/>
          <w:sz w:val="28"/>
          <w:szCs w:val="28"/>
          <w:highlight w:val="none"/>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hint="eastAsia" w:ascii="仿宋_GB2312" w:hAnsi="仿宋_GB2312" w:cs="仿宋_GB2312"/>
          <w:color w:val="000000"/>
          <w:kern w:val="0"/>
          <w:sz w:val="28"/>
          <w:szCs w:val="28"/>
          <w:highlight w:val="none"/>
        </w:rPr>
        <w:t>十一、关于政府采购支出说明</w:t>
      </w:r>
    </w:p>
    <w:p>
      <w:pPr>
        <w:pStyle w:val="11"/>
        <w:spacing w:line="500" w:lineRule="exact"/>
        <w:ind w:firstLine="700" w:firstLineChars="250"/>
        <w:rPr>
          <w:rFonts w:ascii="仿宋_GB2312" w:hAnsi="仿宋_GB2312" w:cs="仿宋_GB2312" w:eastAsiaTheme="minorEastAsia"/>
          <w:sz w:val="28"/>
          <w:szCs w:val="28"/>
          <w:highlight w:val="none"/>
        </w:rPr>
      </w:pPr>
      <w:r>
        <w:rPr>
          <w:rFonts w:hint="eastAsia" w:ascii="仿宋_GB2312" w:hAnsi="仿宋_GB2312" w:cs="仿宋_GB2312" w:eastAsiaTheme="minorEastAsia"/>
          <w:sz w:val="28"/>
          <w:szCs w:val="28"/>
          <w:highlight w:val="none"/>
        </w:rPr>
        <w:t>十二、关于国有资产占用情况说明</w:t>
      </w:r>
    </w:p>
    <w:p>
      <w:pPr>
        <w:pStyle w:val="11"/>
        <w:spacing w:line="500" w:lineRule="exact"/>
        <w:ind w:firstLine="700" w:firstLineChars="250"/>
        <w:rPr>
          <w:rFonts w:ascii="仿宋_GB2312" w:hAnsi="仿宋_GB2312" w:cs="仿宋_GB2312" w:eastAsiaTheme="minorEastAsia"/>
          <w:sz w:val="28"/>
          <w:szCs w:val="28"/>
          <w:highlight w:val="none"/>
        </w:rPr>
      </w:pPr>
      <w:r>
        <w:rPr>
          <w:rFonts w:hint="eastAsia" w:ascii="仿宋_GB2312" w:hAnsi="仿宋_GB2312" w:cs="仿宋_GB2312" w:eastAsiaTheme="minorEastAsia"/>
          <w:sz w:val="28"/>
          <w:szCs w:val="28"/>
          <w:highlight w:val="none"/>
        </w:rPr>
        <w:t>十三、关</w:t>
      </w:r>
      <w:r>
        <w:rPr>
          <w:rFonts w:hint="eastAsia" w:cs="仿宋_GB2312" w:asciiTheme="minorEastAsia" w:hAnsiTheme="minorEastAsia" w:eastAsiaTheme="minorEastAsia"/>
          <w:sz w:val="28"/>
          <w:szCs w:val="28"/>
          <w:highlight w:val="none"/>
        </w:rPr>
        <w:t>于2020年</w:t>
      </w:r>
      <w:r>
        <w:rPr>
          <w:rFonts w:hint="eastAsia" w:ascii="仿宋_GB2312" w:hAnsi="仿宋_GB2312" w:cs="仿宋_GB2312" w:eastAsiaTheme="minorEastAsia"/>
          <w:sz w:val="28"/>
          <w:szCs w:val="28"/>
          <w:highlight w:val="none"/>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highlight w:val="none"/>
        </w:rPr>
      </w:pPr>
      <w:r>
        <w:rPr>
          <w:rFonts w:ascii="黑体" w:hAnsi="黑体" w:eastAsia="黑体" w:cs="黑体"/>
          <w:b/>
          <w:color w:val="000000"/>
          <w:kern w:val="0"/>
          <w:sz w:val="28"/>
          <w:szCs w:val="28"/>
          <w:highlight w:val="none"/>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highlight w:val="none"/>
        </w:rPr>
      </w:pPr>
      <w:r>
        <w:rPr>
          <w:rFonts w:hint="eastAsia" w:ascii="黑体" w:hAnsi="黑体" w:eastAsia="黑体" w:cs="黑体"/>
          <w:b/>
          <w:color w:val="000000"/>
          <w:kern w:val="0"/>
          <w:sz w:val="28"/>
          <w:szCs w:val="28"/>
          <w:highlight w:val="none"/>
        </w:rPr>
        <w:t>第五部分附件</w:t>
      </w:r>
    </w:p>
    <w:p>
      <w:pPr>
        <w:rPr>
          <w:sz w:val="72"/>
          <w:szCs w:val="72"/>
          <w:highlight w:val="none"/>
        </w:rPr>
      </w:pPr>
    </w:p>
    <w:p>
      <w:pPr>
        <w:pStyle w:val="11"/>
        <w:jc w:val="center"/>
        <w:rPr>
          <w:sz w:val="84"/>
          <w:szCs w:val="84"/>
          <w:highlight w:val="none"/>
        </w:rPr>
      </w:pPr>
    </w:p>
    <w:p>
      <w:pPr>
        <w:pStyle w:val="11"/>
        <w:jc w:val="center"/>
        <w:rPr>
          <w:sz w:val="84"/>
          <w:szCs w:val="84"/>
          <w:highlight w:val="none"/>
        </w:rPr>
      </w:pPr>
    </w:p>
    <w:p>
      <w:pPr>
        <w:pStyle w:val="11"/>
        <w:jc w:val="center"/>
        <w:rPr>
          <w:sz w:val="84"/>
          <w:szCs w:val="84"/>
          <w:highlight w:val="none"/>
        </w:rPr>
      </w:pPr>
    </w:p>
    <w:p>
      <w:pPr>
        <w:pStyle w:val="11"/>
        <w:jc w:val="center"/>
        <w:rPr>
          <w:sz w:val="84"/>
          <w:szCs w:val="84"/>
          <w:highlight w:val="none"/>
        </w:rPr>
      </w:pPr>
      <w:r>
        <w:rPr>
          <w:rFonts w:hint="eastAsia"/>
          <w:sz w:val="84"/>
          <w:szCs w:val="84"/>
          <w:highlight w:val="none"/>
        </w:rPr>
        <w:t>第一部分</w:t>
      </w:r>
      <w:r>
        <w:rPr>
          <w:sz w:val="84"/>
          <w:szCs w:val="84"/>
          <w:highlight w:val="none"/>
        </w:rPr>
        <w:t xml:space="preserve"> </w:t>
      </w:r>
    </w:p>
    <w:p>
      <w:pPr>
        <w:pStyle w:val="11"/>
        <w:jc w:val="center"/>
        <w:rPr>
          <w:sz w:val="84"/>
          <w:szCs w:val="84"/>
          <w:highlight w:val="none"/>
        </w:rPr>
      </w:pPr>
    </w:p>
    <w:p>
      <w:pPr>
        <w:pStyle w:val="11"/>
        <w:jc w:val="center"/>
        <w:rPr>
          <w:sz w:val="84"/>
          <w:szCs w:val="84"/>
          <w:highlight w:val="none"/>
        </w:rPr>
      </w:pPr>
      <w:r>
        <w:rPr>
          <w:rFonts w:hint="eastAsia"/>
          <w:sz w:val="84"/>
          <w:szCs w:val="84"/>
          <w:highlight w:val="none"/>
        </w:rPr>
        <w:t>湖南有色地质工程测试研究中心单位概况</w:t>
      </w: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pStyle w:val="12"/>
        <w:ind w:left="720" w:firstLine="0" w:firstLineChars="0"/>
        <w:jc w:val="left"/>
        <w:rPr>
          <w:rFonts w:ascii="黑体" w:hAnsi="黑体" w:eastAsia="黑体"/>
          <w:sz w:val="32"/>
          <w:szCs w:val="32"/>
          <w:highlight w:val="none"/>
        </w:rPr>
      </w:pPr>
    </w:p>
    <w:p>
      <w:pPr>
        <w:pStyle w:val="12"/>
        <w:ind w:left="720" w:firstLine="0" w:firstLineChars="0"/>
        <w:jc w:val="left"/>
        <w:rPr>
          <w:rFonts w:ascii="黑体" w:hAnsi="黑体" w:eastAsia="黑体"/>
          <w:sz w:val="32"/>
          <w:szCs w:val="32"/>
          <w:highlight w:val="none"/>
        </w:rPr>
      </w:pPr>
    </w:p>
    <w:p>
      <w:pPr>
        <w:pStyle w:val="12"/>
        <w:ind w:left="720" w:firstLine="0" w:firstLineChars="0"/>
        <w:jc w:val="left"/>
        <w:rPr>
          <w:rFonts w:ascii="黑体" w:hAnsi="黑体" w:eastAsia="黑体"/>
          <w:sz w:val="32"/>
          <w:szCs w:val="32"/>
          <w:highlight w:val="none"/>
        </w:rPr>
      </w:pPr>
    </w:p>
    <w:p>
      <w:pPr>
        <w:pStyle w:val="12"/>
        <w:numPr>
          <w:ilvl w:val="0"/>
          <w:numId w:val="1"/>
        </w:numPr>
        <w:ind w:firstLineChars="0"/>
        <w:jc w:val="left"/>
        <w:rPr>
          <w:rFonts w:ascii="黑体" w:hAnsi="黑体" w:eastAsia="黑体"/>
          <w:sz w:val="32"/>
          <w:szCs w:val="32"/>
          <w:highlight w:val="none"/>
        </w:rPr>
      </w:pPr>
      <w:r>
        <w:rPr>
          <w:rFonts w:ascii="黑体" w:hAnsi="黑体" w:eastAsia="黑体"/>
          <w:sz w:val="32"/>
          <w:szCs w:val="32"/>
          <w:highlight w:val="none"/>
        </w:rPr>
        <w:t>部门职责</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湖南有色地质工程测试研究中心（简称测研中心）隶属于湖南省地质院，为省财政二级预算事业单位，成立于1955年7月，位于湖南省长沙市经开区东六路100号南段有色地勘大厦，2013年1月1日与湖南湘江工程建设有限公司整合重组而成，是一支集工程地质测试研究及生产、房地产开发、建筑施工于一体的综合性地勘队伍。</w:t>
      </w:r>
    </w:p>
    <w:p>
      <w:pPr>
        <w:pStyle w:val="11"/>
        <w:spacing w:line="500" w:lineRule="exact"/>
        <w:ind w:firstLine="640" w:firstLineChars="200"/>
        <w:rPr>
          <w:rFonts w:cs="仿宋_GB2312" w:asciiTheme="minorEastAsia" w:hAnsiTheme="minorEastAsia" w:eastAsiaTheme="minorEastAsia"/>
          <w:sz w:val="28"/>
          <w:szCs w:val="28"/>
          <w:highlight w:val="none"/>
        </w:rPr>
      </w:pPr>
      <w:r>
        <w:rPr>
          <w:rFonts w:hint="eastAsia" w:ascii="仿宋_GB2312" w:hAnsi="仿宋" w:eastAsia="仿宋_GB2312"/>
          <w:sz w:val="32"/>
          <w:szCs w:val="32"/>
          <w:highlight w:val="none"/>
        </w:rPr>
        <w:t>单位于2005年通过了ISO9000质量体系认证，2009年通过安全、环境两大体系认证。近60余年来，测研中心为湖南省乃至全国的地址勘查单位研制生产了大批地质钻探、基础工程、机械加工等设备，为湖南的地质找矿事业贡献了力量。</w:t>
      </w:r>
    </w:p>
    <w:p>
      <w:pPr>
        <w:widowControl/>
        <w:spacing w:line="600" w:lineRule="exact"/>
        <w:rPr>
          <w:rFonts w:ascii="黑体" w:hAnsi="黑体" w:eastAsia="黑体"/>
          <w:bCs/>
          <w:kern w:val="0"/>
          <w:sz w:val="32"/>
          <w:szCs w:val="32"/>
          <w:highlight w:val="none"/>
        </w:rPr>
      </w:pPr>
      <w:r>
        <w:rPr>
          <w:rFonts w:hint="eastAsia" w:ascii="黑体" w:hAnsi="黑体" w:eastAsia="黑体"/>
          <w:bCs/>
          <w:kern w:val="0"/>
          <w:sz w:val="32"/>
          <w:szCs w:val="32"/>
          <w:highlight w:val="none"/>
        </w:rPr>
        <w:t>二、机构设置及决算单位构成</w:t>
      </w:r>
    </w:p>
    <w:p>
      <w:pPr>
        <w:widowControl/>
        <w:spacing w:line="600" w:lineRule="exact"/>
        <w:ind w:firstLine="320" w:firstLineChars="1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（一）内设机构设置。内设机构包括：</w:t>
      </w:r>
      <w:r>
        <w:rPr>
          <w:rFonts w:hint="eastAsia" w:ascii="仿宋_GB2312" w:hAnsi="仿宋" w:eastAsia="仿宋_GB2312"/>
          <w:sz w:val="32"/>
          <w:szCs w:val="32"/>
          <w:highlight w:val="none"/>
        </w:rPr>
        <w:t>综合科、财务科、审计科、经营科、人事科、安全科、物资设备后勤科、项目管理科8个职能部门。</w:t>
      </w:r>
    </w:p>
    <w:p>
      <w:pPr>
        <w:widowControl/>
        <w:spacing w:line="600" w:lineRule="exact"/>
        <w:ind w:firstLine="320" w:firstLineChars="100"/>
        <w:rPr>
          <w:rFonts w:asciiTheme="minorEastAsia" w:hAnsiTheme="minorEastAsia"/>
          <w:bCs/>
          <w:kern w:val="0"/>
          <w:sz w:val="32"/>
          <w:szCs w:val="32"/>
          <w:highlight w:val="none"/>
        </w:rPr>
      </w:pPr>
      <w:r>
        <w:rPr>
          <w:rFonts w:hint="eastAsia" w:asciiTheme="minorEastAsia" w:hAnsiTheme="minorEastAsia"/>
          <w:bCs/>
          <w:kern w:val="0"/>
          <w:sz w:val="32"/>
          <w:szCs w:val="32"/>
          <w:highlight w:val="none"/>
        </w:rPr>
        <w:t>（二）决算单位构成。测研中心</w:t>
      </w:r>
      <w:r>
        <w:rPr>
          <w:rFonts w:asciiTheme="minorEastAsia" w:hAnsiTheme="minorEastAsia"/>
          <w:bCs/>
          <w:kern w:val="0"/>
          <w:sz w:val="32"/>
          <w:szCs w:val="32"/>
          <w:highlight w:val="none"/>
        </w:rPr>
        <w:t>20</w:t>
      </w:r>
      <w:r>
        <w:rPr>
          <w:rFonts w:hint="eastAsia" w:asciiTheme="minorEastAsia" w:hAnsiTheme="minorEastAsia"/>
          <w:bCs/>
          <w:kern w:val="0"/>
          <w:sz w:val="32"/>
          <w:szCs w:val="32"/>
          <w:highlight w:val="none"/>
        </w:rPr>
        <w:t>20年部门决算汇总公开单位构成包括：测研中心本级。</w:t>
      </w:r>
    </w:p>
    <w:p>
      <w:pPr>
        <w:jc w:val="left"/>
        <w:rPr>
          <w:rFonts w:ascii="仿宋_GB2312" w:eastAsia="仿宋_GB2312" w:hAnsiTheme="minorEastAsia"/>
          <w:sz w:val="28"/>
          <w:szCs w:val="32"/>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r>
        <w:rPr>
          <w:rFonts w:hint="eastAsia"/>
          <w:sz w:val="72"/>
          <w:szCs w:val="72"/>
          <w:highlight w:val="none"/>
        </w:rPr>
        <w:t>第二部分</w:t>
      </w:r>
    </w:p>
    <w:p>
      <w:pPr>
        <w:jc w:val="center"/>
        <w:rPr>
          <w:sz w:val="72"/>
          <w:szCs w:val="72"/>
          <w:highlight w:val="none"/>
        </w:rPr>
      </w:pPr>
    </w:p>
    <w:p>
      <w:pPr>
        <w:jc w:val="center"/>
        <w:rPr>
          <w:sz w:val="72"/>
          <w:szCs w:val="72"/>
          <w:highlight w:val="none"/>
        </w:rPr>
      </w:pPr>
      <w:r>
        <w:rPr>
          <w:rFonts w:hint="eastAsia"/>
          <w:sz w:val="72"/>
          <w:szCs w:val="72"/>
          <w:highlight w:val="none"/>
        </w:rPr>
        <w:t>部门决算表</w:t>
      </w: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jc w:val="left"/>
        <w:rPr>
          <w:rFonts w:asciiTheme="minorEastAsia" w:hAnsiTheme="minorEastAsia"/>
          <w:sz w:val="32"/>
          <w:szCs w:val="32"/>
          <w:highlight w:val="none"/>
        </w:rPr>
        <w:sectPr>
          <w:pgSz w:w="11906" w:h="16838"/>
          <w:pgMar w:top="720" w:right="720" w:bottom="720" w:left="720" w:header="851" w:footer="992" w:gutter="0"/>
          <w:cols w:space="425" w:num="1"/>
          <w:docGrid w:type="lines" w:linePitch="312" w:charSpace="0"/>
        </w:sectPr>
      </w:pPr>
    </w:p>
    <w:p>
      <w:pPr>
        <w:jc w:val="center"/>
        <w:rPr>
          <w:rFonts w:ascii="黑体" w:hAnsi="黑体" w:eastAsia="黑体"/>
          <w:sz w:val="28"/>
          <w:szCs w:val="28"/>
          <w:highlight w:val="none"/>
        </w:rPr>
        <w:sectPr>
          <w:pgSz w:w="16838" w:h="11906" w:orient="landscape"/>
          <w:pgMar w:top="1797" w:right="1440" w:bottom="1797" w:left="1440" w:header="851" w:footer="992" w:gutter="0"/>
          <w:cols w:space="425" w:num="1"/>
          <w:docGrid w:type="linesAndChars" w:linePitch="312" w:charSpace="0"/>
        </w:sectPr>
      </w:pPr>
      <w:r>
        <w:rPr>
          <w:highlight w:val="none"/>
        </w:rPr>
        <w:drawing>
          <wp:inline distT="0" distB="0" distL="114300" distR="114300">
            <wp:extent cx="8081010" cy="5222240"/>
            <wp:effectExtent l="0" t="0" r="15240" b="1651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4" cstate="print"/>
                    <a:stretch>
                      <a:fillRect/>
                    </a:stretch>
                  </pic:blipFill>
                  <pic:spPr>
                    <a:xfrm>
                      <a:off x="0" y="0"/>
                      <a:ext cx="8081010" cy="5222240"/>
                    </a:xfrm>
                    <a:prstGeom prst="rect">
                      <a:avLst/>
                    </a:prstGeom>
                    <a:noFill/>
                    <a:ln>
                      <a:noFill/>
                    </a:ln>
                  </pic:spPr>
                </pic:pic>
              </a:graphicData>
            </a:graphic>
          </wp:inline>
        </w:drawing>
      </w:r>
    </w:p>
    <w:p>
      <w:pPr>
        <w:widowControl/>
        <w:jc w:val="left"/>
        <w:rPr>
          <w:rFonts w:ascii="Times New Roman" w:hAnsi="Times New Roman" w:eastAsia="黑体" w:cs="Times New Roman"/>
          <w:bCs/>
          <w:kern w:val="0"/>
          <w:sz w:val="32"/>
          <w:szCs w:val="32"/>
          <w:highlight w:val="none"/>
        </w:rPr>
      </w:pPr>
      <w:r>
        <w:rPr>
          <w:highlight w:val="none"/>
        </w:rPr>
        <w:drawing>
          <wp:inline distT="0" distB="0" distL="114300" distR="114300">
            <wp:extent cx="9772650" cy="4820285"/>
            <wp:effectExtent l="0" t="0" r="0" b="18415"/>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5" cstate="print"/>
                    <a:stretch>
                      <a:fillRect/>
                    </a:stretch>
                  </pic:blipFill>
                  <pic:spPr>
                    <a:xfrm>
                      <a:off x="0" y="0"/>
                      <a:ext cx="9772650" cy="4820285"/>
                    </a:xfrm>
                    <a:prstGeom prst="rect">
                      <a:avLst/>
                    </a:prstGeom>
                    <a:noFill/>
                    <a:ln>
                      <a:noFill/>
                    </a:ln>
                  </pic:spPr>
                </pic:pic>
              </a:graphicData>
            </a:graphic>
          </wp:inline>
        </w:drawing>
      </w:r>
      <w:r>
        <w:rPr>
          <w:rFonts w:ascii="Times New Roman" w:hAnsi="Times New Roman" w:eastAsia="黑体" w:cs="Times New Roman"/>
          <w:bCs/>
          <w:kern w:val="0"/>
          <w:sz w:val="32"/>
          <w:szCs w:val="32"/>
          <w:highlight w:val="none"/>
        </w:rPr>
        <w:t xml:space="preserve"> </w:t>
      </w:r>
      <w:r>
        <w:rPr>
          <w:rFonts w:ascii="Times New Roman" w:hAnsi="Times New Roman" w:eastAsia="黑体" w:cs="Times New Roman"/>
          <w:bCs/>
          <w:kern w:val="0"/>
          <w:sz w:val="32"/>
          <w:szCs w:val="32"/>
          <w:highlight w:val="none"/>
        </w:rPr>
        <w:br w:type="page"/>
      </w:r>
    </w:p>
    <w:p>
      <w:pPr>
        <w:widowControl/>
        <w:rPr>
          <w:rFonts w:ascii="Times New Roman" w:hAnsi="Times New Roman" w:eastAsia="方正小标宋_GBK" w:cs="Times New Roman"/>
          <w:color w:val="000000"/>
          <w:kern w:val="0"/>
          <w:sz w:val="36"/>
          <w:szCs w:val="36"/>
          <w:highlight w:val="none"/>
        </w:rPr>
      </w:pPr>
    </w:p>
    <w:p>
      <w:pPr>
        <w:widowControl/>
        <w:ind w:left="93"/>
        <w:jc w:val="center"/>
        <w:rPr>
          <w:rFonts w:ascii="Times New Roman" w:hAnsi="Times New Roman" w:eastAsia="方正小标宋_GBK" w:cs="Times New Roman"/>
          <w:color w:val="000000"/>
          <w:kern w:val="0"/>
          <w:sz w:val="36"/>
          <w:szCs w:val="21"/>
          <w:highlight w:val="none"/>
        </w:rPr>
      </w:pPr>
      <w:r>
        <w:rPr>
          <w:highlight w:val="none"/>
        </w:rPr>
        <w:drawing>
          <wp:inline distT="0" distB="0" distL="114300" distR="114300">
            <wp:extent cx="9769475" cy="5307330"/>
            <wp:effectExtent l="0" t="0" r="3175" b="762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6" cstate="print"/>
                    <a:stretch>
                      <a:fillRect/>
                    </a:stretch>
                  </pic:blipFill>
                  <pic:spPr>
                    <a:xfrm>
                      <a:off x="0" y="0"/>
                      <a:ext cx="9769475" cy="5307330"/>
                    </a:xfrm>
                    <a:prstGeom prst="rect">
                      <a:avLst/>
                    </a:prstGeom>
                    <a:noFill/>
                    <a:ln>
                      <a:noFill/>
                    </a:ln>
                  </pic:spPr>
                </pic:pic>
              </a:graphicData>
            </a:graphic>
          </wp:inline>
        </w:drawing>
      </w:r>
    </w:p>
    <w:p>
      <w:pPr>
        <w:widowControl/>
        <w:ind w:left="93"/>
        <w:jc w:val="center"/>
        <w:rPr>
          <w:rFonts w:ascii="Times New Roman" w:hAnsi="Times New Roman" w:eastAsia="方正小标宋_GBK" w:cs="Times New Roman"/>
          <w:color w:val="000000"/>
          <w:kern w:val="0"/>
          <w:sz w:val="36"/>
          <w:szCs w:val="21"/>
          <w:highlight w:val="none"/>
        </w:rPr>
      </w:pPr>
    </w:p>
    <w:p>
      <w:pPr>
        <w:widowControl/>
        <w:rPr>
          <w:rFonts w:ascii="Times New Roman" w:hAnsi="Times New Roman" w:eastAsia="方正小标宋_GBK" w:cs="Times New Roman"/>
          <w:color w:val="000000"/>
          <w:kern w:val="0"/>
          <w:sz w:val="36"/>
          <w:szCs w:val="21"/>
          <w:highlight w:val="none"/>
        </w:rPr>
      </w:pPr>
    </w:p>
    <w:p>
      <w:pPr>
        <w:widowControl/>
        <w:jc w:val="center"/>
        <w:rPr>
          <w:rFonts w:ascii="Times New Roman" w:hAnsi="Times New Roman" w:eastAsia="方正小标宋_GBK" w:cs="Times New Roman"/>
          <w:kern w:val="0"/>
          <w:sz w:val="36"/>
          <w:szCs w:val="36"/>
          <w:highlight w:val="none"/>
        </w:rPr>
      </w:pPr>
      <w:bookmarkStart w:id="0" w:name="RANGE!A1:I22"/>
      <w:bookmarkEnd w:id="0"/>
      <w:bookmarkStart w:id="1" w:name="RANGE!A1:F16"/>
      <w:r>
        <w:rPr>
          <w:highlight w:val="none"/>
        </w:rPr>
        <w:drawing>
          <wp:inline distT="0" distB="0" distL="114300" distR="114300">
            <wp:extent cx="9768840" cy="6958965"/>
            <wp:effectExtent l="0" t="0" r="3810" b="13335"/>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7" cstate="print"/>
                    <a:stretch>
                      <a:fillRect/>
                    </a:stretch>
                  </pic:blipFill>
                  <pic:spPr>
                    <a:xfrm>
                      <a:off x="0" y="0"/>
                      <a:ext cx="9768840" cy="6958965"/>
                    </a:xfrm>
                    <a:prstGeom prst="rect">
                      <a:avLst/>
                    </a:prstGeom>
                    <a:noFill/>
                    <a:ln>
                      <a:noFill/>
                    </a:ln>
                  </pic:spPr>
                </pic:pic>
              </a:graphicData>
            </a:graphic>
          </wp:inline>
        </w:drawing>
      </w:r>
    </w:p>
    <w:p>
      <w:pPr>
        <w:widowControl/>
        <w:jc w:val="center"/>
        <w:rPr>
          <w:highlight w:val="none"/>
        </w:rPr>
      </w:pPr>
      <w:r>
        <w:rPr>
          <w:highlight w:val="none"/>
        </w:rPr>
        <w:drawing>
          <wp:inline distT="0" distB="0" distL="114300" distR="114300">
            <wp:extent cx="7572375" cy="5400675"/>
            <wp:effectExtent l="0" t="0" r="9525" b="9525"/>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8" cstate="print"/>
                    <a:stretch>
                      <a:fillRect/>
                    </a:stretch>
                  </pic:blipFill>
                  <pic:spPr>
                    <a:xfrm>
                      <a:off x="0" y="0"/>
                      <a:ext cx="7572375" cy="5400675"/>
                    </a:xfrm>
                    <a:prstGeom prst="rect">
                      <a:avLst/>
                    </a:prstGeom>
                    <a:noFill/>
                    <a:ln>
                      <a:noFill/>
                    </a:ln>
                  </pic:spPr>
                </pic:pic>
              </a:graphicData>
            </a:graphic>
          </wp:inline>
        </w:drawing>
      </w:r>
    </w:p>
    <w:p>
      <w:pPr>
        <w:widowControl/>
        <w:jc w:val="center"/>
        <w:rPr>
          <w:highlight w:val="none"/>
        </w:rPr>
      </w:pPr>
    </w:p>
    <w:p>
      <w:pPr>
        <w:widowControl/>
        <w:jc w:val="center"/>
        <w:rPr>
          <w:highlight w:val="none"/>
        </w:rPr>
      </w:pPr>
    </w:p>
    <w:p>
      <w:pPr>
        <w:widowControl/>
        <w:jc w:val="center"/>
        <w:rPr>
          <w:highlight w:val="none"/>
        </w:rPr>
      </w:pPr>
    </w:p>
    <w:p>
      <w:pPr>
        <w:widowControl/>
        <w:jc w:val="center"/>
        <w:rPr>
          <w:highlight w:val="none"/>
        </w:rPr>
      </w:pPr>
    </w:p>
    <w:p>
      <w:pPr>
        <w:widowControl/>
        <w:jc w:val="center"/>
        <w:rPr>
          <w:highlight w:val="none"/>
        </w:rPr>
      </w:pPr>
    </w:p>
    <w:bookmarkEnd w:id="1"/>
    <w:p>
      <w:pPr>
        <w:widowControl/>
        <w:jc w:val="center"/>
        <w:rPr>
          <w:rFonts w:ascii="Times New Roman" w:hAnsi="Times New Roman" w:eastAsia="方正小标宋_GBK" w:cs="Times New Roman"/>
          <w:color w:val="000000"/>
          <w:kern w:val="0"/>
          <w:sz w:val="36"/>
          <w:szCs w:val="36"/>
          <w:highlight w:val="none"/>
        </w:rPr>
      </w:pPr>
      <w:r>
        <w:rPr>
          <w:highlight w:val="none"/>
        </w:rPr>
        <w:drawing>
          <wp:inline distT="0" distB="0" distL="114300" distR="114300">
            <wp:extent cx="9775825" cy="5908040"/>
            <wp:effectExtent l="0" t="0" r="15875" b="1651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9" cstate="print"/>
                    <a:stretch>
                      <a:fillRect/>
                    </a:stretch>
                  </pic:blipFill>
                  <pic:spPr>
                    <a:xfrm>
                      <a:off x="0" y="0"/>
                      <a:ext cx="9775825" cy="5908040"/>
                    </a:xfrm>
                    <a:prstGeom prst="rect">
                      <a:avLst/>
                    </a:prstGeom>
                    <a:noFill/>
                    <a:ln>
                      <a:noFill/>
                    </a:ln>
                  </pic:spPr>
                </pic:pic>
              </a:graphicData>
            </a:graphic>
          </wp:inline>
        </w:drawing>
      </w:r>
    </w:p>
    <w:p>
      <w:pPr>
        <w:widowControl/>
        <w:jc w:val="left"/>
        <w:rPr>
          <w:rFonts w:ascii="宋体" w:eastAsia="宋体" w:cs="宋体"/>
          <w:kern w:val="0"/>
          <w:sz w:val="24"/>
          <w:szCs w:val="24"/>
          <w:highlight w:val="none"/>
        </w:rPr>
      </w:pPr>
      <w:r>
        <w:rPr>
          <w:rFonts w:ascii="宋体" w:eastAsia="宋体" w:cs="宋体"/>
          <w:kern w:val="0"/>
          <w:sz w:val="24"/>
          <w:szCs w:val="24"/>
          <w:highlight w:val="none"/>
        </w:rPr>
        <w:br w:type="page"/>
      </w:r>
    </w:p>
    <w:p>
      <w:pPr>
        <w:autoSpaceDE w:val="0"/>
        <w:autoSpaceDN w:val="0"/>
        <w:adjustRightInd w:val="0"/>
        <w:ind w:left="315" w:leftChars="150"/>
        <w:jc w:val="left"/>
        <w:rPr>
          <w:highlight w:val="none"/>
        </w:rPr>
      </w:pPr>
      <w:r>
        <w:rPr>
          <w:highlight w:val="none"/>
        </w:rPr>
        <w:drawing>
          <wp:inline distT="0" distB="0" distL="114300" distR="114300">
            <wp:extent cx="9774555" cy="2067560"/>
            <wp:effectExtent l="0" t="0" r="17145" b="889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0" cstate="print"/>
                    <a:stretch>
                      <a:fillRect/>
                    </a:stretch>
                  </pic:blipFill>
                  <pic:spPr>
                    <a:xfrm>
                      <a:off x="0" y="0"/>
                      <a:ext cx="9774555" cy="2067560"/>
                    </a:xfrm>
                    <a:prstGeom prst="rect">
                      <a:avLst/>
                    </a:prstGeom>
                    <a:noFill/>
                    <a:ln>
                      <a:noFill/>
                    </a:ln>
                  </pic:spPr>
                </pic:pic>
              </a:graphicData>
            </a:graphic>
          </wp:inline>
        </w:drawing>
      </w:r>
    </w:p>
    <w:p>
      <w:pPr>
        <w:autoSpaceDE w:val="0"/>
        <w:autoSpaceDN w:val="0"/>
        <w:adjustRightInd w:val="0"/>
        <w:ind w:left="315" w:leftChars="150"/>
        <w:jc w:val="left"/>
        <w:rPr>
          <w:highlight w:val="none"/>
        </w:rPr>
      </w:pPr>
    </w:p>
    <w:p>
      <w:pPr>
        <w:autoSpaceDE w:val="0"/>
        <w:autoSpaceDN w:val="0"/>
        <w:adjustRightInd w:val="0"/>
        <w:ind w:left="315" w:leftChars="150"/>
        <w:jc w:val="left"/>
        <w:rPr>
          <w:highlight w:val="none"/>
        </w:rPr>
      </w:pPr>
    </w:p>
    <w:p>
      <w:pPr>
        <w:autoSpaceDE w:val="0"/>
        <w:autoSpaceDN w:val="0"/>
        <w:adjustRightInd w:val="0"/>
        <w:ind w:left="315" w:leftChars="150"/>
        <w:jc w:val="left"/>
        <w:rPr>
          <w:highlight w:val="none"/>
        </w:rPr>
      </w:pPr>
    </w:p>
    <w:p>
      <w:pPr>
        <w:autoSpaceDE w:val="0"/>
        <w:autoSpaceDN w:val="0"/>
        <w:adjustRightInd w:val="0"/>
        <w:ind w:left="315" w:leftChars="150"/>
        <w:jc w:val="left"/>
        <w:rPr>
          <w:highlight w:val="none"/>
        </w:rPr>
      </w:pPr>
    </w:p>
    <w:p>
      <w:pPr>
        <w:autoSpaceDE w:val="0"/>
        <w:autoSpaceDN w:val="0"/>
        <w:adjustRightInd w:val="0"/>
        <w:ind w:left="315" w:leftChars="150"/>
        <w:jc w:val="left"/>
        <w:rPr>
          <w:highlight w:val="none"/>
        </w:rPr>
      </w:pPr>
    </w:p>
    <w:p>
      <w:pPr>
        <w:autoSpaceDE w:val="0"/>
        <w:autoSpaceDN w:val="0"/>
        <w:adjustRightInd w:val="0"/>
        <w:ind w:left="315" w:leftChars="150"/>
        <w:jc w:val="left"/>
        <w:rPr>
          <w:highlight w:val="none"/>
        </w:rPr>
      </w:pPr>
    </w:p>
    <w:p>
      <w:pPr>
        <w:autoSpaceDE w:val="0"/>
        <w:autoSpaceDN w:val="0"/>
        <w:adjustRightInd w:val="0"/>
        <w:ind w:left="315" w:leftChars="150"/>
        <w:jc w:val="left"/>
        <w:rPr>
          <w:highlight w:val="none"/>
        </w:rPr>
      </w:pPr>
    </w:p>
    <w:p>
      <w:pPr>
        <w:autoSpaceDE w:val="0"/>
        <w:autoSpaceDN w:val="0"/>
        <w:adjustRightInd w:val="0"/>
        <w:ind w:left="315" w:leftChars="150"/>
        <w:jc w:val="left"/>
        <w:rPr>
          <w:highlight w:val="none"/>
        </w:rPr>
      </w:pPr>
    </w:p>
    <w:p>
      <w:pPr>
        <w:autoSpaceDE w:val="0"/>
        <w:autoSpaceDN w:val="0"/>
        <w:adjustRightInd w:val="0"/>
        <w:ind w:left="315" w:leftChars="150"/>
        <w:jc w:val="left"/>
        <w:rPr>
          <w:highlight w:val="none"/>
        </w:rPr>
      </w:pPr>
    </w:p>
    <w:p>
      <w:pPr>
        <w:autoSpaceDE w:val="0"/>
        <w:autoSpaceDN w:val="0"/>
        <w:adjustRightInd w:val="0"/>
        <w:ind w:left="315" w:leftChars="150"/>
        <w:jc w:val="left"/>
        <w:rPr>
          <w:highlight w:val="none"/>
        </w:rPr>
      </w:pPr>
    </w:p>
    <w:p>
      <w:pPr>
        <w:autoSpaceDE w:val="0"/>
        <w:autoSpaceDN w:val="0"/>
        <w:adjustRightInd w:val="0"/>
        <w:ind w:left="315" w:leftChars="150"/>
        <w:jc w:val="left"/>
        <w:rPr>
          <w:highlight w:val="none"/>
        </w:rPr>
      </w:pPr>
    </w:p>
    <w:p>
      <w:pPr>
        <w:autoSpaceDE w:val="0"/>
        <w:autoSpaceDN w:val="0"/>
        <w:adjustRightInd w:val="0"/>
        <w:ind w:left="315" w:leftChars="150"/>
        <w:jc w:val="left"/>
        <w:rPr>
          <w:highlight w:val="none"/>
        </w:rPr>
      </w:pPr>
    </w:p>
    <w:p>
      <w:pPr>
        <w:autoSpaceDE w:val="0"/>
        <w:autoSpaceDN w:val="0"/>
        <w:adjustRightInd w:val="0"/>
        <w:ind w:left="315" w:leftChars="150"/>
        <w:jc w:val="left"/>
        <w:rPr>
          <w:highlight w:val="none"/>
        </w:rPr>
      </w:pPr>
    </w:p>
    <w:p>
      <w:pPr>
        <w:autoSpaceDE w:val="0"/>
        <w:autoSpaceDN w:val="0"/>
        <w:adjustRightInd w:val="0"/>
        <w:ind w:left="315" w:leftChars="150"/>
        <w:jc w:val="left"/>
        <w:rPr>
          <w:highlight w:val="none"/>
        </w:rPr>
      </w:pPr>
    </w:p>
    <w:p>
      <w:pPr>
        <w:autoSpaceDE w:val="0"/>
        <w:autoSpaceDN w:val="0"/>
        <w:adjustRightInd w:val="0"/>
        <w:ind w:left="315" w:leftChars="150"/>
        <w:jc w:val="left"/>
        <w:rPr>
          <w:highlight w:val="none"/>
        </w:rPr>
      </w:pPr>
    </w:p>
    <w:p>
      <w:pPr>
        <w:autoSpaceDE w:val="0"/>
        <w:autoSpaceDN w:val="0"/>
        <w:adjustRightInd w:val="0"/>
        <w:ind w:left="315" w:leftChars="150"/>
        <w:jc w:val="left"/>
        <w:rPr>
          <w:highlight w:val="none"/>
        </w:rPr>
      </w:pPr>
    </w:p>
    <w:p>
      <w:pPr>
        <w:autoSpaceDE w:val="0"/>
        <w:autoSpaceDN w:val="0"/>
        <w:adjustRightInd w:val="0"/>
        <w:ind w:left="315" w:leftChars="150"/>
        <w:jc w:val="left"/>
        <w:rPr>
          <w:highlight w:val="none"/>
        </w:rPr>
      </w:pPr>
    </w:p>
    <w:p>
      <w:pPr>
        <w:autoSpaceDE w:val="0"/>
        <w:autoSpaceDN w:val="0"/>
        <w:adjustRightInd w:val="0"/>
        <w:ind w:left="315" w:leftChars="150"/>
        <w:jc w:val="left"/>
        <w:rPr>
          <w:highlight w:val="none"/>
        </w:rPr>
      </w:pPr>
    </w:p>
    <w:p>
      <w:pPr>
        <w:autoSpaceDE w:val="0"/>
        <w:autoSpaceDN w:val="0"/>
        <w:adjustRightInd w:val="0"/>
        <w:ind w:left="315" w:leftChars="150"/>
        <w:jc w:val="left"/>
        <w:rPr>
          <w:highlight w:val="none"/>
        </w:rPr>
      </w:pPr>
    </w:p>
    <w:p>
      <w:pPr>
        <w:autoSpaceDE w:val="0"/>
        <w:autoSpaceDN w:val="0"/>
        <w:adjustRightInd w:val="0"/>
        <w:ind w:left="315" w:leftChars="150"/>
        <w:jc w:val="left"/>
        <w:rPr>
          <w:highlight w:val="none"/>
        </w:rPr>
      </w:pPr>
    </w:p>
    <w:p>
      <w:pPr>
        <w:autoSpaceDE w:val="0"/>
        <w:autoSpaceDN w:val="0"/>
        <w:adjustRightInd w:val="0"/>
        <w:ind w:left="315" w:leftChars="150"/>
        <w:jc w:val="left"/>
        <w:rPr>
          <w:highlight w:val="none"/>
        </w:rPr>
      </w:pPr>
    </w:p>
    <w:p>
      <w:pPr>
        <w:widowControl/>
        <w:jc w:val="center"/>
        <w:rPr>
          <w:rFonts w:ascii="Times New Roman" w:hAnsi="Times New Roman" w:eastAsia="方正小标宋_GBK" w:cs="Times New Roman"/>
          <w:kern w:val="0"/>
          <w:sz w:val="36"/>
          <w:szCs w:val="36"/>
          <w:highlight w:val="none"/>
        </w:rPr>
      </w:pPr>
      <w:r>
        <w:rPr>
          <w:rFonts w:ascii="Times New Roman" w:hAnsi="Times New Roman" w:eastAsia="方正小标宋_GBK" w:cs="Times New Roman"/>
          <w:kern w:val="0"/>
          <w:sz w:val="36"/>
          <w:szCs w:val="36"/>
          <w:highlight w:val="none"/>
        </w:rPr>
        <w:t>政府性基金预算财政拨款收入支出决算表</w:t>
      </w:r>
    </w:p>
    <w:p>
      <w:pPr>
        <w:widowControl/>
        <w:wordWrap w:val="0"/>
        <w:jc w:val="righ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部门：                                                                                                                       公开08表</w:t>
      </w:r>
    </w:p>
    <w:p>
      <w:pPr>
        <w:widowControl/>
        <w:jc w:val="righ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 xml:space="preserve">项 </w:t>
            </w:r>
            <w:r>
              <w:rPr>
                <w:rFonts w:ascii="Times New Roman" w:hAnsi="Times New Roman" w:eastAsia="仿宋_GB2312" w:cs="Times New Roman"/>
                <w:b/>
                <w:color w:val="000000"/>
                <w:kern w:val="0"/>
                <w:szCs w:val="21"/>
                <w:highlight w:val="none"/>
              </w:rPr>
              <w:t xml:space="preserve">   </w:t>
            </w:r>
            <w:r>
              <w:rPr>
                <w:rFonts w:ascii="Times New Roman" w:hAnsi="Times New Roman" w:eastAsia="仿宋_GB2312" w:cs="Times New Roman"/>
                <w:b/>
                <w:kern w:val="0"/>
                <w:szCs w:val="21"/>
                <w:highlight w:val="none"/>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科目名称</w:t>
            </w:r>
          </w:p>
        </w:tc>
        <w:tc>
          <w:tcPr>
            <w:tcW w:w="2000" w:type="dxa"/>
            <w:vMerge w:val="continue"/>
            <w:vAlign w:val="center"/>
          </w:tcPr>
          <w:p>
            <w:pPr>
              <w:widowControl/>
              <w:jc w:val="left"/>
              <w:rPr>
                <w:rFonts w:ascii="Times New Roman" w:hAnsi="Times New Roman" w:eastAsia="仿宋_GB2312" w:cs="Times New Roman"/>
                <w:b/>
                <w:kern w:val="0"/>
                <w:szCs w:val="21"/>
                <w:highlight w:val="none"/>
              </w:rPr>
            </w:pPr>
          </w:p>
        </w:tc>
        <w:tc>
          <w:tcPr>
            <w:tcW w:w="2000" w:type="dxa"/>
            <w:vMerge w:val="continue"/>
            <w:vAlign w:val="center"/>
          </w:tcPr>
          <w:p>
            <w:pPr>
              <w:widowControl/>
              <w:jc w:val="left"/>
              <w:rPr>
                <w:rFonts w:ascii="Times New Roman" w:hAnsi="Times New Roman" w:eastAsia="仿宋_GB2312" w:cs="Times New Roman"/>
                <w:b/>
                <w:kern w:val="0"/>
                <w:szCs w:val="21"/>
                <w:highlight w:val="none"/>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项目支出</w:t>
            </w:r>
          </w:p>
        </w:tc>
        <w:tc>
          <w:tcPr>
            <w:tcW w:w="2000" w:type="dxa"/>
            <w:vMerge w:val="continue"/>
            <w:vAlign w:val="center"/>
          </w:tcPr>
          <w:p>
            <w:pPr>
              <w:widowControl/>
              <w:jc w:val="left"/>
              <w:rPr>
                <w:rFonts w:ascii="Times New Roman" w:hAnsi="Times New Roman" w:eastAsia="仿宋_GB2312" w:cs="Times New Roman"/>
                <w:b/>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highlight w:val="none"/>
              </w:rPr>
            </w:pPr>
          </w:p>
        </w:tc>
        <w:tc>
          <w:tcPr>
            <w:tcW w:w="132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highlight w:val="none"/>
              </w:rPr>
            </w:pPr>
          </w:p>
        </w:tc>
        <w:tc>
          <w:tcPr>
            <w:tcW w:w="132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r>
              <w:rPr>
                <w:rFonts w:hint="eastAsia" w:ascii="Times New Roman" w:hAnsi="Times New Roman" w:eastAsia="仿宋_GB2312" w:cs="Times New Roman"/>
                <w:kern w:val="0"/>
                <w:szCs w:val="21"/>
                <w:highlight w:val="none"/>
              </w:rPr>
              <w:t>无</w:t>
            </w:r>
          </w:p>
        </w:tc>
        <w:tc>
          <w:tcPr>
            <w:tcW w:w="132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32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32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32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32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32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r>
    </w:tbl>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注：本表反映部门本年度政府性基金预算财政拨款收入、支出及结转和结余情况</w:t>
      </w:r>
    </w:p>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(若本单位无政府性基金收支</w:t>
      </w:r>
      <w:r>
        <w:rPr>
          <w:rFonts w:hint="eastAsia" w:ascii="Times New Roman" w:hAnsi="Times New Roman" w:eastAsia="仿宋_GB2312" w:cs="Times New Roman"/>
          <w:kern w:val="0"/>
          <w:szCs w:val="21"/>
          <w:highlight w:val="none"/>
        </w:rPr>
        <w:t>,请说明：XX单位没有政府性基金收入，也没有使用政府性基金安排的支出，故本表无数据</w:t>
      </w:r>
      <w:r>
        <w:rPr>
          <w:rFonts w:ascii="Times New Roman" w:hAnsi="Times New Roman" w:eastAsia="仿宋_GB2312" w:cs="Times New Roman"/>
          <w:kern w:val="0"/>
          <w:szCs w:val="21"/>
          <w:highlight w:val="none"/>
        </w:rPr>
        <w:t>)。</w:t>
      </w:r>
    </w:p>
    <w:p>
      <w:pPr>
        <w:widowControl/>
        <w:jc w:val="left"/>
        <w:rPr>
          <w:rFonts w:ascii="黑体" w:hAnsi="黑体" w:eastAsia="黑体"/>
          <w:szCs w:val="21"/>
          <w:highlight w:val="none"/>
        </w:rPr>
      </w:pPr>
      <w:r>
        <w:rPr>
          <w:rFonts w:ascii="黑体" w:hAnsi="黑体" w:eastAsia="黑体"/>
          <w:szCs w:val="21"/>
          <w:highlight w:val="none"/>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highlight w:val="none"/>
              </w:rPr>
            </w:pPr>
            <w:r>
              <w:rPr>
                <w:rFonts w:hint="eastAsia" w:ascii="华文中宋" w:hAnsi="华文中宋" w:eastAsia="华文中宋" w:cs="宋体"/>
                <w:kern w:val="0"/>
                <w:sz w:val="32"/>
                <w:szCs w:val="32"/>
                <w:highlight w:val="none"/>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项 </w:t>
            </w:r>
            <w:r>
              <w:rPr>
                <w:rFonts w:hint="eastAsia" w:ascii="宋体" w:hAnsi="宋体" w:eastAsia="宋体" w:cs="宋体"/>
                <w:color w:val="000000"/>
                <w:kern w:val="0"/>
                <w:sz w:val="22"/>
                <w:highlight w:val="none"/>
              </w:rPr>
              <w:t xml:space="preserve">   </w:t>
            </w:r>
            <w:r>
              <w:rPr>
                <w:rFonts w:hint="eastAsia" w:ascii="宋体" w:hAnsi="宋体" w:eastAsia="宋体" w:cs="宋体"/>
                <w:kern w:val="0"/>
                <w:sz w:val="24"/>
                <w:szCs w:val="24"/>
                <w:highlight w:val="none"/>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无</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注：本表反映部门本年度国有资本经营预算财政拨款支出情况。</w:t>
            </w:r>
          </w:p>
        </w:tc>
      </w:tr>
    </w:tbl>
    <w:p>
      <w:pPr>
        <w:pStyle w:val="11"/>
        <w:rPr>
          <w:sz w:val="72"/>
          <w:szCs w:val="72"/>
          <w:highlight w:val="none"/>
        </w:rPr>
        <w:sectPr>
          <w:pgSz w:w="16838" w:h="11906" w:orient="landscape"/>
          <w:pgMar w:top="720" w:right="720" w:bottom="720" w:left="720" w:header="851" w:footer="992" w:gutter="0"/>
          <w:cols w:space="425" w:num="1"/>
          <w:docGrid w:type="lines" w:linePitch="312" w:charSpace="0"/>
        </w:sectPr>
      </w:pPr>
    </w:p>
    <w:p>
      <w:pPr>
        <w:pStyle w:val="11"/>
        <w:rPr>
          <w:sz w:val="72"/>
          <w:szCs w:val="72"/>
          <w:highlight w:val="none"/>
        </w:rPr>
      </w:pPr>
    </w:p>
    <w:p>
      <w:pPr>
        <w:pStyle w:val="11"/>
        <w:rPr>
          <w:sz w:val="72"/>
          <w:szCs w:val="72"/>
          <w:highlight w:val="none"/>
        </w:rPr>
      </w:pPr>
    </w:p>
    <w:p>
      <w:pPr>
        <w:pStyle w:val="11"/>
        <w:rPr>
          <w:sz w:val="72"/>
          <w:szCs w:val="72"/>
          <w:highlight w:val="none"/>
        </w:rPr>
      </w:pPr>
    </w:p>
    <w:p>
      <w:pPr>
        <w:pStyle w:val="11"/>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r>
        <w:rPr>
          <w:rFonts w:hint="eastAsia"/>
          <w:sz w:val="72"/>
          <w:szCs w:val="72"/>
          <w:highlight w:val="none"/>
        </w:rPr>
        <w:t>第三部分</w:t>
      </w:r>
    </w:p>
    <w:p>
      <w:pPr>
        <w:pStyle w:val="11"/>
        <w:jc w:val="center"/>
        <w:rPr>
          <w:sz w:val="70"/>
          <w:szCs w:val="70"/>
          <w:highlight w:val="none"/>
        </w:rPr>
      </w:pPr>
    </w:p>
    <w:p>
      <w:pPr>
        <w:pStyle w:val="11"/>
        <w:jc w:val="center"/>
        <w:rPr>
          <w:sz w:val="70"/>
          <w:szCs w:val="70"/>
          <w:highlight w:val="none"/>
        </w:rPr>
      </w:pPr>
      <w:r>
        <w:rPr>
          <w:sz w:val="70"/>
          <w:szCs w:val="70"/>
          <w:highlight w:val="none"/>
        </w:rPr>
        <w:t>20</w:t>
      </w:r>
      <w:r>
        <w:rPr>
          <w:rFonts w:hint="eastAsia"/>
          <w:sz w:val="70"/>
          <w:szCs w:val="70"/>
          <w:highlight w:val="none"/>
        </w:rPr>
        <w:t>20年度部门决算情况说明</w:t>
      </w:r>
    </w:p>
    <w:p>
      <w:pPr>
        <w:widowControl/>
        <w:jc w:val="left"/>
        <w:rPr>
          <w:rFonts w:ascii="黑体" w:eastAsia="黑体" w:cs="黑体"/>
          <w:color w:val="000000"/>
          <w:kern w:val="0"/>
          <w:sz w:val="70"/>
          <w:szCs w:val="70"/>
          <w:highlight w:val="none"/>
        </w:rPr>
      </w:pPr>
      <w:r>
        <w:rPr>
          <w:sz w:val="70"/>
          <w:szCs w:val="70"/>
          <w:highlight w:val="none"/>
        </w:rPr>
        <w:br w:type="page"/>
      </w:r>
    </w:p>
    <w:p>
      <w:pPr>
        <w:pStyle w:val="11"/>
        <w:rPr>
          <w:rFonts w:asciiTheme="minorEastAsia" w:hAnsiTheme="minorEastAsia" w:eastAsiaTheme="minorEastAsia"/>
          <w:sz w:val="32"/>
          <w:szCs w:val="32"/>
          <w:highlight w:val="none"/>
        </w:rPr>
      </w:pPr>
    </w:p>
    <w:p>
      <w:pPr>
        <w:pStyle w:val="11"/>
        <w:rPr>
          <w:rFonts w:hAnsi="黑体"/>
          <w:b/>
          <w:color w:val="FF0000"/>
          <w:sz w:val="32"/>
          <w:szCs w:val="32"/>
          <w:highlight w:val="none"/>
        </w:rPr>
      </w:pPr>
      <w:r>
        <w:rPr>
          <w:rFonts w:hint="eastAsia" w:hAnsi="黑体"/>
          <w:b/>
          <w:sz w:val="32"/>
          <w:szCs w:val="32"/>
          <w:highlight w:val="none"/>
        </w:rPr>
        <w:t>一、收入支出决算总体情况说明</w:t>
      </w:r>
    </w:p>
    <w:p>
      <w:pPr>
        <w:pStyle w:val="11"/>
        <w:ind w:firstLine="640" w:firstLineChars="200"/>
        <w:rPr>
          <w:rFonts w:hint="eastAsia"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2020年度收入总计为1211.43万元</w:t>
      </w:r>
      <w:r>
        <w:rPr>
          <w:rFonts w:hint="eastAsia" w:asciiTheme="minorEastAsia" w:hAnsiTheme="minorEastAsia" w:eastAsiaTheme="minorEastAsia"/>
          <w:color w:val="auto"/>
          <w:sz w:val="32"/>
          <w:szCs w:val="32"/>
          <w:highlight w:val="none"/>
          <w:lang w:eastAsia="zh-CN"/>
        </w:rPr>
        <w:t>（</w:t>
      </w:r>
      <w:r>
        <w:rPr>
          <w:rFonts w:hint="eastAsia" w:asciiTheme="minorEastAsia" w:hAnsiTheme="minorEastAsia" w:eastAsiaTheme="minorEastAsia"/>
          <w:color w:val="auto"/>
          <w:sz w:val="32"/>
          <w:szCs w:val="32"/>
          <w:highlight w:val="none"/>
        </w:rPr>
        <w:t>含上年结转77.4万元</w:t>
      </w:r>
      <w:r>
        <w:rPr>
          <w:rFonts w:hint="eastAsia" w:asciiTheme="minorEastAsia" w:hAnsiTheme="minorEastAsia" w:eastAsiaTheme="minorEastAsia"/>
          <w:color w:val="auto"/>
          <w:sz w:val="32"/>
          <w:szCs w:val="32"/>
          <w:highlight w:val="none"/>
          <w:lang w:eastAsia="zh-CN"/>
        </w:rPr>
        <w:t>）</w:t>
      </w:r>
      <w:r>
        <w:rPr>
          <w:rFonts w:hint="eastAsia" w:asciiTheme="minorEastAsia" w:hAnsiTheme="minorEastAsia" w:eastAsiaTheme="minorEastAsia"/>
          <w:color w:val="auto"/>
          <w:sz w:val="32"/>
          <w:szCs w:val="32"/>
          <w:highlight w:val="none"/>
        </w:rPr>
        <w:t>，与上年相比，减少258.9万元，减少17.61%。主要是因为</w:t>
      </w:r>
      <w:r>
        <w:rPr>
          <w:rFonts w:hint="eastAsia" w:asciiTheme="minorEastAsia" w:hAnsiTheme="minorEastAsia" w:eastAsiaTheme="minorEastAsia"/>
          <w:color w:val="auto"/>
          <w:sz w:val="32"/>
          <w:szCs w:val="32"/>
          <w:highlight w:val="none"/>
          <w:lang w:val="en-US" w:eastAsia="zh-CN"/>
        </w:rPr>
        <w:t>多种经营</w:t>
      </w:r>
      <w:r>
        <w:rPr>
          <w:rFonts w:hint="eastAsia" w:asciiTheme="minorEastAsia" w:hAnsiTheme="minorEastAsia" w:eastAsiaTheme="minorEastAsia"/>
          <w:color w:val="auto"/>
          <w:sz w:val="32"/>
          <w:szCs w:val="32"/>
          <w:highlight w:val="none"/>
        </w:rPr>
        <w:t>收入减少241.63万元。支出总计1211.43万元</w:t>
      </w:r>
      <w:r>
        <w:rPr>
          <w:rFonts w:hint="eastAsia" w:asciiTheme="minorEastAsia" w:hAnsiTheme="minorEastAsia" w:eastAsiaTheme="minorEastAsia"/>
          <w:color w:val="auto"/>
          <w:sz w:val="32"/>
          <w:szCs w:val="32"/>
          <w:highlight w:val="none"/>
          <w:lang w:eastAsia="zh-CN"/>
        </w:rPr>
        <w:t>（</w:t>
      </w:r>
      <w:r>
        <w:rPr>
          <w:rFonts w:hint="eastAsia" w:asciiTheme="minorEastAsia" w:hAnsiTheme="minorEastAsia" w:eastAsiaTheme="minorEastAsia"/>
          <w:color w:val="auto"/>
          <w:sz w:val="32"/>
          <w:szCs w:val="32"/>
          <w:highlight w:val="none"/>
        </w:rPr>
        <w:t>含上年结转77.4万元</w:t>
      </w:r>
      <w:r>
        <w:rPr>
          <w:rFonts w:hint="eastAsia" w:asciiTheme="minorEastAsia" w:hAnsiTheme="minorEastAsia" w:eastAsiaTheme="minorEastAsia"/>
          <w:color w:val="auto"/>
          <w:sz w:val="32"/>
          <w:szCs w:val="32"/>
          <w:highlight w:val="none"/>
          <w:lang w:eastAsia="zh-CN"/>
        </w:rPr>
        <w:t>）</w:t>
      </w:r>
      <w:r>
        <w:rPr>
          <w:rFonts w:hint="eastAsia" w:asciiTheme="minorEastAsia" w:hAnsiTheme="minorEastAsia" w:eastAsiaTheme="minorEastAsia"/>
          <w:color w:val="auto"/>
          <w:sz w:val="32"/>
          <w:szCs w:val="32"/>
          <w:highlight w:val="none"/>
        </w:rPr>
        <w:t>，与上年相比减少258.9万元。主要是因为</w:t>
      </w:r>
      <w:r>
        <w:rPr>
          <w:rFonts w:hint="eastAsia" w:asciiTheme="minorEastAsia" w:hAnsiTheme="minorEastAsia" w:eastAsiaTheme="minorEastAsia"/>
          <w:color w:val="auto"/>
          <w:sz w:val="32"/>
          <w:szCs w:val="32"/>
          <w:highlight w:val="none"/>
          <w:lang w:val="en-US" w:eastAsia="zh-CN"/>
        </w:rPr>
        <w:t>多种经营</w:t>
      </w:r>
      <w:r>
        <w:rPr>
          <w:rFonts w:hint="eastAsia" w:asciiTheme="minorEastAsia" w:hAnsiTheme="minorEastAsia" w:eastAsiaTheme="minorEastAsia"/>
          <w:color w:val="auto"/>
          <w:sz w:val="32"/>
          <w:szCs w:val="32"/>
          <w:highlight w:val="none"/>
        </w:rPr>
        <w:t>收入减少241.63万元。</w:t>
      </w:r>
    </w:p>
    <w:p>
      <w:pPr>
        <w:pStyle w:val="11"/>
        <w:rPr>
          <w:rFonts w:hAnsi="黑体"/>
          <w:b/>
          <w:sz w:val="32"/>
          <w:szCs w:val="32"/>
          <w:highlight w:val="none"/>
        </w:rPr>
      </w:pPr>
      <w:r>
        <w:rPr>
          <w:rFonts w:hint="eastAsia" w:hAnsi="黑体"/>
          <w:b/>
          <w:sz w:val="32"/>
          <w:szCs w:val="32"/>
          <w:highlight w:val="none"/>
        </w:rPr>
        <w:t>二、收入决算情况说明</w:t>
      </w:r>
    </w:p>
    <w:p>
      <w:pPr>
        <w:pStyle w:val="11"/>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本年收入合计1134.03万元，其中：财政拨款收入1096.83万元，占96.72%；上级补助收入0万元，占0%；事业收入0万元，占0%；经营收入37.2万元，占3.28%；附属单位上缴收入0万元，占0%；其他收入0万元，占0%。</w:t>
      </w:r>
    </w:p>
    <w:p>
      <w:pPr>
        <w:pStyle w:val="11"/>
        <w:rPr>
          <w:rFonts w:hAnsi="黑体"/>
          <w:b/>
          <w:sz w:val="32"/>
          <w:szCs w:val="32"/>
          <w:highlight w:val="none"/>
        </w:rPr>
      </w:pPr>
      <w:r>
        <w:rPr>
          <w:rFonts w:hint="eastAsia" w:hAnsi="黑体"/>
          <w:b/>
          <w:sz w:val="32"/>
          <w:szCs w:val="32"/>
          <w:highlight w:val="none"/>
        </w:rPr>
        <w:t>三、支出决算情况说明</w:t>
      </w:r>
    </w:p>
    <w:p>
      <w:pPr>
        <w:pStyle w:val="11"/>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本年支出合计1211.43万元，其中：基本支出1174.23万元，占96.93%；项目支出0万元，占0%；上缴上级支出0万元，占0%；经营支出37.2万元，占3.17%；对附属单位补助支出0万元，占0%。</w:t>
      </w:r>
    </w:p>
    <w:p>
      <w:pPr>
        <w:pStyle w:val="11"/>
        <w:rPr>
          <w:rFonts w:hAnsi="黑体"/>
          <w:b/>
          <w:sz w:val="32"/>
          <w:szCs w:val="32"/>
          <w:highlight w:val="none"/>
        </w:rPr>
      </w:pPr>
      <w:r>
        <w:rPr>
          <w:rFonts w:hint="eastAsia" w:hAnsi="黑体"/>
          <w:b/>
          <w:sz w:val="32"/>
          <w:szCs w:val="32"/>
          <w:highlight w:val="none"/>
        </w:rPr>
        <w:t>四、财政拨款收入支出决算总体情况说明</w:t>
      </w:r>
    </w:p>
    <w:p>
      <w:pPr>
        <w:pStyle w:val="11"/>
        <w:ind w:firstLine="640"/>
        <w:rPr>
          <w:rFonts w:hint="default" w:asciiTheme="minorEastAsia" w:hAnsiTheme="minorEastAsia" w:eastAsiaTheme="minorEastAsia"/>
          <w:sz w:val="32"/>
          <w:szCs w:val="32"/>
          <w:highlight w:val="yellow"/>
          <w:lang w:val="en-US" w:eastAsia="zh-CN"/>
        </w:rPr>
      </w:pPr>
      <w:r>
        <w:rPr>
          <w:rFonts w:hint="eastAsia" w:asciiTheme="minorEastAsia" w:hAnsiTheme="minorEastAsia" w:eastAsiaTheme="minorEastAsia"/>
          <w:sz w:val="32"/>
          <w:szCs w:val="32"/>
          <w:highlight w:val="none"/>
        </w:rPr>
        <w:t>2020年度财政拨款收入</w:t>
      </w:r>
      <w:r>
        <w:rPr>
          <w:rFonts w:hint="eastAsia" w:asciiTheme="minorEastAsia" w:hAnsiTheme="minorEastAsia" w:eastAsiaTheme="minorEastAsia"/>
          <w:sz w:val="32"/>
          <w:szCs w:val="32"/>
          <w:highlight w:val="none"/>
          <w:lang w:val="en-US" w:eastAsia="zh-CN"/>
        </w:rPr>
        <w:t>总</w:t>
      </w:r>
      <w:r>
        <w:rPr>
          <w:rFonts w:hint="eastAsia" w:asciiTheme="minorEastAsia" w:hAnsiTheme="minorEastAsia" w:eastAsiaTheme="minorEastAsia"/>
          <w:sz w:val="32"/>
          <w:szCs w:val="32"/>
          <w:highlight w:val="none"/>
        </w:rPr>
        <w:t>计</w:t>
      </w:r>
      <w:r>
        <w:rPr>
          <w:rFonts w:hint="eastAsia" w:asciiTheme="minorEastAsia" w:hAnsiTheme="minorEastAsia" w:eastAsiaTheme="minorEastAsia"/>
          <w:sz w:val="32"/>
          <w:szCs w:val="32"/>
          <w:highlight w:val="none"/>
          <w:lang w:val="en-US" w:eastAsia="zh-CN"/>
        </w:rPr>
        <w:t>1174.23</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含上年结转77.4万元</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与上年相比，减少17.27万元，减少1.45%，</w:t>
      </w:r>
      <w:r>
        <w:rPr>
          <w:rFonts w:hint="eastAsia" w:asciiTheme="minorEastAsia" w:hAnsiTheme="minorEastAsia" w:eastAsiaTheme="minorEastAsia"/>
          <w:sz w:val="32"/>
          <w:szCs w:val="32"/>
          <w:highlight w:val="none"/>
        </w:rPr>
        <w:t>减少的主要原因是人员经费的减少。2020年度财政拨款支出总计</w:t>
      </w:r>
      <w:r>
        <w:rPr>
          <w:rFonts w:hint="eastAsia" w:asciiTheme="minorEastAsia" w:hAnsiTheme="minorEastAsia" w:eastAsiaTheme="minorEastAsia"/>
          <w:sz w:val="32"/>
          <w:szCs w:val="32"/>
          <w:highlight w:val="none"/>
          <w:lang w:val="en-US" w:eastAsia="zh-CN"/>
        </w:rPr>
        <w:t>1174.23</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含上年结转77.4万元</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与上年相比减少17.27万元，减少1.45%，</w:t>
      </w:r>
      <w:r>
        <w:rPr>
          <w:rFonts w:hint="eastAsia" w:asciiTheme="minorEastAsia" w:hAnsiTheme="minorEastAsia" w:eastAsiaTheme="minorEastAsia"/>
          <w:sz w:val="32"/>
          <w:szCs w:val="32"/>
          <w:highlight w:val="none"/>
        </w:rPr>
        <w:t>减少的主要原因是人员经费的减少。</w:t>
      </w:r>
      <w:bookmarkStart w:id="2" w:name="_GoBack"/>
      <w:bookmarkEnd w:id="2"/>
    </w:p>
    <w:p>
      <w:pPr>
        <w:pStyle w:val="11"/>
        <w:rPr>
          <w:rFonts w:hAnsi="黑体"/>
          <w:b/>
          <w:sz w:val="32"/>
          <w:szCs w:val="32"/>
          <w:highlight w:val="none"/>
        </w:rPr>
      </w:pPr>
      <w:r>
        <w:rPr>
          <w:rFonts w:hint="eastAsia" w:hAnsi="黑体"/>
          <w:b/>
          <w:sz w:val="32"/>
          <w:szCs w:val="32"/>
          <w:highlight w:val="none"/>
        </w:rPr>
        <w:t>五、一般公共预算财政拨款支出决算情况说明</w:t>
      </w:r>
    </w:p>
    <w:p>
      <w:pPr>
        <w:pStyle w:val="11"/>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（一）财政拨款支出决算总体情况</w:t>
      </w:r>
    </w:p>
    <w:p>
      <w:pPr>
        <w:pStyle w:val="11"/>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2020年度财政拨款支出1174.23万元，占本年支出合计的96.93%，与上年相比，财政拨款支出减少17.27万元，减少1.45%，主要是因为上年结余77.4万元。</w:t>
      </w:r>
    </w:p>
    <w:p>
      <w:pPr>
        <w:pStyle w:val="11"/>
        <w:ind w:firstLine="480" w:firstLineChars="15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（二）财政拨款支出决算结构情况</w:t>
      </w:r>
    </w:p>
    <w:p>
      <w:pPr>
        <w:pStyle w:val="11"/>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sz w:val="32"/>
          <w:szCs w:val="32"/>
          <w:highlight w:val="none"/>
        </w:rPr>
        <w:t>2020年度财政拨款支出1174.23万元，主要用于以下方面</w:t>
      </w:r>
      <w:r>
        <w:rPr>
          <w:rFonts w:hint="eastAsia" w:asciiTheme="minorEastAsia" w:hAnsiTheme="minorEastAsia" w:eastAsiaTheme="minorEastAsia"/>
          <w:color w:val="auto"/>
          <w:sz w:val="32"/>
          <w:szCs w:val="32"/>
          <w:highlight w:val="none"/>
        </w:rPr>
        <w:t>：教育（类）支出1.5万元，占0.12%;社会保障和就业（类）支出99.89万元，占8.51%；卫生健康（类）支出70.42万元，占6%；资源勘探工业信息等（类）支出190.10万元，占16.19%；自然资源海洋气象等（类）支出698.53万元，占59.49%；住房保障（类）支出113.79万元，占9.69%。</w:t>
      </w:r>
    </w:p>
    <w:p>
      <w:pPr>
        <w:pStyle w:val="11"/>
        <w:ind w:firstLine="800" w:firstLineChars="25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（三）财政拨款支出决算具体情况</w:t>
      </w:r>
    </w:p>
    <w:p>
      <w:pPr>
        <w:pStyle w:val="11"/>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2020年度财政拨款支出年初预算数为984.13万元，支出决算数为1174.23万元，完成年初预算的119.32%，其中：</w:t>
      </w:r>
    </w:p>
    <w:p>
      <w:pPr>
        <w:pStyle w:val="11"/>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1、教育支出（类）进修及培训（款）培训支出（项）。</w:t>
      </w:r>
    </w:p>
    <w:p>
      <w:pPr>
        <w:pStyle w:val="11"/>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年初预算为1.5万元，支出决算为1.5万元，完成年初预算的100%，决算数与预算数持平。</w:t>
      </w:r>
    </w:p>
    <w:p>
      <w:pPr>
        <w:pStyle w:val="11"/>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2、社会保障和就业支出（类）行政事业单位养老支出（款）机关事业单位基本养老保险缴费支出（项）。</w:t>
      </w:r>
    </w:p>
    <w:p>
      <w:pPr>
        <w:pStyle w:val="11"/>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年初预算为99.89万元，支出决算为99.89万元，完成年初预算的100%，决算数与预算数持平。</w:t>
      </w:r>
    </w:p>
    <w:p>
      <w:pPr>
        <w:pStyle w:val="11"/>
        <w:numPr>
          <w:ilvl w:val="0"/>
          <w:numId w:val="2"/>
        </w:numPr>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卫生健康支出（类）行政事业单位医疗（款）事业单位医疗（项）。</w:t>
      </w:r>
    </w:p>
    <w:p>
      <w:pPr>
        <w:pStyle w:val="11"/>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年初预算为70.42万元，支出决算为70.42万元，完成年初预算的100%，决算数与预算数持平。</w:t>
      </w:r>
    </w:p>
    <w:p>
      <w:pPr>
        <w:pStyle w:val="11"/>
        <w:numPr>
          <w:ilvl w:val="0"/>
          <w:numId w:val="2"/>
        </w:numPr>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资源勘探工业信息等支出（类）资源勘探开发（款）其他资源勘探业支出（项）。</w:t>
      </w:r>
    </w:p>
    <w:p>
      <w:pPr>
        <w:pStyle w:val="11"/>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年初预算为0万元，支出决算为190.1万元，完成年初预算的190.1%，决算数大于年初预算数的主要原因是：190.1万元为追加的综治奖。</w:t>
      </w:r>
    </w:p>
    <w:p>
      <w:pPr>
        <w:pStyle w:val="11"/>
        <w:numPr>
          <w:ilvl w:val="0"/>
          <w:numId w:val="2"/>
        </w:numPr>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自然资源海洋气象等支出（类）自然资源事务医疗（款）事业运行（项）。</w:t>
      </w:r>
    </w:p>
    <w:p>
      <w:pPr>
        <w:pStyle w:val="11"/>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年初预算为698.53万元，支出决算为698.53万元，完成年初预算的100%，决算数与预算数持平.</w:t>
      </w:r>
    </w:p>
    <w:p>
      <w:pPr>
        <w:pStyle w:val="11"/>
        <w:numPr>
          <w:ilvl w:val="0"/>
          <w:numId w:val="2"/>
        </w:numPr>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住房保障支出（类）住房改革支出（款）住房公积金（项）。</w:t>
      </w:r>
    </w:p>
    <w:p>
      <w:pPr>
        <w:pStyle w:val="11"/>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年初预算为113.79万元，支出决算为113.79万元，决算数与预算数持平。</w:t>
      </w:r>
    </w:p>
    <w:p>
      <w:pPr>
        <w:pStyle w:val="11"/>
        <w:rPr>
          <w:rFonts w:hAnsi="黑体"/>
          <w:b/>
          <w:sz w:val="32"/>
          <w:szCs w:val="32"/>
          <w:highlight w:val="none"/>
        </w:rPr>
      </w:pPr>
      <w:r>
        <w:rPr>
          <w:rFonts w:hint="eastAsia" w:hAnsi="黑体"/>
          <w:b/>
          <w:sz w:val="32"/>
          <w:szCs w:val="32"/>
          <w:highlight w:val="none"/>
        </w:rPr>
        <w:t>六、一般公共预算财政拨款基本支出决算情况说明</w:t>
      </w:r>
    </w:p>
    <w:p>
      <w:pPr>
        <w:pStyle w:val="11"/>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2020年度财政拨款基本支出1174.23万元，其中：人员经费1087.61万元，占基本支出的92.62%,主要包括基本工资、津贴补贴、奖金、绩效工资、机关事业单位基本养老保险缴费、职工基本医疗补助缴费、其他社会保障缴费、住房公积金、退休费、抚恤金、生活补助、医疗费补助、奖励金、其他对个人和家庭的补助；公用经费86.62万元，占基本支出的7.38%，主要包括办公费、印刷费、电费、邮电费、取暖费、物业管理费、差旅费、维护费、会议费、培训费、公务接待费、工会经费、福利费、公务用车运行维护费、其他商品和服务支出。</w:t>
      </w:r>
    </w:p>
    <w:p>
      <w:pPr>
        <w:pStyle w:val="11"/>
        <w:rPr>
          <w:rFonts w:hAnsi="黑体"/>
          <w:b/>
          <w:sz w:val="32"/>
          <w:szCs w:val="32"/>
          <w:highlight w:val="none"/>
        </w:rPr>
      </w:pPr>
      <w:r>
        <w:rPr>
          <w:rFonts w:hint="eastAsia" w:hAnsi="黑体"/>
          <w:b/>
          <w:sz w:val="32"/>
          <w:szCs w:val="32"/>
          <w:highlight w:val="none"/>
        </w:rPr>
        <w:t>七、一般公共预算财政拨款三公经费支出决算情况说明</w:t>
      </w:r>
    </w:p>
    <w:p>
      <w:pPr>
        <w:pStyle w:val="11"/>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（一）“三公”经费财政拨款支出决算总体情况说明</w:t>
      </w:r>
    </w:p>
    <w:p>
      <w:pPr>
        <w:pStyle w:val="11"/>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“三公”经费财政拨款支出预算为7.5万元，支出决算为7.5万元，完成预算的100%，其中：</w:t>
      </w:r>
    </w:p>
    <w:p>
      <w:pPr>
        <w:pStyle w:val="11"/>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因公出国（境）费支出预算为0万元，支出决算为0万元，与上年相比不变。</w:t>
      </w:r>
    </w:p>
    <w:p>
      <w:pPr>
        <w:pStyle w:val="11"/>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公务接待费支出预算为4万元，支出决算为4万元，完成预算的100%，与上年相比不变。</w:t>
      </w:r>
    </w:p>
    <w:p>
      <w:pPr>
        <w:pStyle w:val="11"/>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公务用车购置费及运行维护费支出预算为3.5万元，支出决算为3.5万元，完成预算的100%，与上年相比不变。</w:t>
      </w:r>
    </w:p>
    <w:p>
      <w:pPr>
        <w:pStyle w:val="11"/>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（二）“三公”经费财政拨款支出决算具体情况说明</w:t>
      </w:r>
    </w:p>
    <w:p>
      <w:pPr>
        <w:pStyle w:val="11"/>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2020年度“三公”经费财政拨款支出决算中，公务接待费支出决算4万元，占53.33%,因公出国（境）费支出决算0万元，占0%,公务用车购置费及运行维护费支出决算3.5万元，占46.67%。其中：</w:t>
      </w:r>
    </w:p>
    <w:p>
      <w:pPr>
        <w:pStyle w:val="11"/>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sz w:val="32"/>
          <w:szCs w:val="32"/>
          <w:highlight w:val="none"/>
        </w:rPr>
        <w:t>1、因公出国（境）费支出决算0万元，全年安排因公出国（境）团组0个，累计0人次。</w:t>
      </w:r>
    </w:p>
    <w:p>
      <w:pPr>
        <w:pStyle w:val="11"/>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2、公务接待费支出决算为4万元，全年共接待来访团组82个、来宾825人次，主要是视访接待发生的接待支出。</w:t>
      </w:r>
    </w:p>
    <w:p>
      <w:pPr>
        <w:ind w:firstLine="800" w:firstLineChars="250"/>
        <w:rPr>
          <w:rFonts w:cs="黑体" w:asciiTheme="minorEastAsia" w:hAnsiTheme="minorEastAsia"/>
          <w:color w:val="000000"/>
          <w:kern w:val="0"/>
          <w:sz w:val="32"/>
          <w:szCs w:val="32"/>
          <w:highlight w:val="none"/>
        </w:rPr>
      </w:pPr>
      <w:r>
        <w:rPr>
          <w:rFonts w:hint="eastAsia" w:asciiTheme="minorEastAsia" w:hAnsiTheme="minorEastAsia"/>
          <w:sz w:val="32"/>
          <w:szCs w:val="32"/>
          <w:highlight w:val="none"/>
        </w:rPr>
        <w:t>3、公务用车购置费及运行维护费支出决算为4万元，其中：公务用车购置费0万元</w:t>
      </w:r>
      <w:r>
        <w:rPr>
          <w:rFonts w:hint="eastAsia" w:asciiTheme="minorEastAsia" w:hAnsiTheme="minorEastAsia"/>
          <w:sz w:val="32"/>
          <w:szCs w:val="32"/>
          <w:highlight w:val="none"/>
          <w:lang w:eastAsia="zh-CN"/>
        </w:rPr>
        <w:t>，</w:t>
      </w:r>
      <w:r>
        <w:rPr>
          <w:rFonts w:hint="eastAsia" w:asciiTheme="minorEastAsia" w:hAnsiTheme="minorEastAsia"/>
          <w:sz w:val="32"/>
          <w:szCs w:val="32"/>
          <w:highlight w:val="none"/>
        </w:rPr>
        <w:t>更新公务用车</w:t>
      </w:r>
      <w:r>
        <w:rPr>
          <w:rFonts w:hint="eastAsia" w:asciiTheme="minorEastAsia" w:hAnsiTheme="minorEastAsia"/>
          <w:sz w:val="32"/>
          <w:szCs w:val="32"/>
          <w:highlight w:val="none"/>
          <w:lang w:val="en-US" w:eastAsia="zh-CN"/>
        </w:rPr>
        <w:t>0</w:t>
      </w:r>
      <w:r>
        <w:rPr>
          <w:rFonts w:hint="eastAsia" w:asciiTheme="minorEastAsia" w:hAnsiTheme="minorEastAsia"/>
          <w:sz w:val="32"/>
          <w:szCs w:val="32"/>
          <w:highlight w:val="none"/>
        </w:rPr>
        <w:t>辆</w:t>
      </w:r>
      <w:r>
        <w:rPr>
          <w:rFonts w:hint="eastAsia" w:asciiTheme="minorEastAsia" w:hAnsiTheme="minorEastAsia"/>
          <w:color w:val="000000" w:themeColor="text1"/>
          <w:sz w:val="32"/>
          <w:szCs w:val="32"/>
          <w:highlight w:val="none"/>
          <w14:textFill>
            <w14:solidFill>
              <w14:schemeClr w14:val="tx1"/>
            </w14:solidFill>
          </w14:textFill>
        </w:rPr>
        <w:t>。</w:t>
      </w:r>
      <w:r>
        <w:rPr>
          <w:rFonts w:hint="eastAsia" w:asciiTheme="minorEastAsia" w:hAnsiTheme="minorEastAsia"/>
          <w:sz w:val="32"/>
          <w:szCs w:val="32"/>
          <w:highlight w:val="none"/>
        </w:rPr>
        <w:t>公务用车运行维护费4万元，主要是维修维护支出，截止2020年12月31日，我单位开支财政拨款的公务用车保有量为0辆。</w:t>
      </w:r>
    </w:p>
    <w:p>
      <w:pPr>
        <w:pStyle w:val="11"/>
        <w:rPr>
          <w:rFonts w:hAnsi="黑体"/>
          <w:b/>
          <w:sz w:val="32"/>
          <w:szCs w:val="32"/>
          <w:highlight w:val="none"/>
        </w:rPr>
      </w:pPr>
      <w:r>
        <w:rPr>
          <w:rFonts w:hint="eastAsia" w:hAnsi="黑体"/>
          <w:b/>
          <w:sz w:val="32"/>
          <w:szCs w:val="32"/>
          <w:highlight w:val="none"/>
        </w:rPr>
        <w:t>八、政府性基金预算收入支出决算情况</w:t>
      </w:r>
    </w:p>
    <w:p>
      <w:pPr>
        <w:pStyle w:val="11"/>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 xml:space="preserve">     本单位2020年度无政府性基金收支。</w:t>
      </w:r>
    </w:p>
    <w:p>
      <w:pPr>
        <w:pStyle w:val="11"/>
        <w:rPr>
          <w:rFonts w:hAnsi="黑体"/>
          <w:b/>
          <w:sz w:val="32"/>
          <w:szCs w:val="32"/>
          <w:highlight w:val="none"/>
        </w:rPr>
      </w:pPr>
      <w:r>
        <w:rPr>
          <w:rFonts w:hint="eastAsia" w:hAnsi="黑体"/>
          <w:b/>
          <w:sz w:val="32"/>
          <w:szCs w:val="32"/>
          <w:highlight w:val="none"/>
        </w:rPr>
        <w:t>九、关于机关运行经费支出说明</w:t>
      </w:r>
    </w:p>
    <w:p>
      <w:pPr>
        <w:pStyle w:val="11"/>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本单位非行政单位和参照公务员法管理事业单位，无机关运行经费。</w:t>
      </w:r>
    </w:p>
    <w:p>
      <w:pPr>
        <w:pStyle w:val="11"/>
        <w:rPr>
          <w:rFonts w:hAnsi="黑体"/>
          <w:b/>
          <w:sz w:val="32"/>
          <w:szCs w:val="32"/>
          <w:highlight w:val="none"/>
        </w:rPr>
      </w:pPr>
      <w:r>
        <w:rPr>
          <w:rFonts w:hint="eastAsia" w:hAnsi="黑体"/>
          <w:b/>
          <w:sz w:val="32"/>
          <w:szCs w:val="32"/>
          <w:highlight w:val="none"/>
        </w:rPr>
        <w:t>十、一般性支出情况</w:t>
      </w:r>
    </w:p>
    <w:p>
      <w:pPr>
        <w:pStyle w:val="11"/>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2020年本单位开支会议费1万元，主要用于</w:t>
      </w:r>
      <w:r>
        <w:rPr>
          <w:rFonts w:hint="eastAsia" w:asciiTheme="minorEastAsia" w:hAnsiTheme="minorEastAsia" w:eastAsiaTheme="minorEastAsia"/>
          <w:color w:val="auto"/>
          <w:sz w:val="32"/>
          <w:szCs w:val="32"/>
          <w:highlight w:val="none"/>
        </w:rPr>
        <w:t>召开专题会议，人数17人两天，内容为关于召开经济发展与改革转型升级研讨会；开支培训费1.5万元，44人次，主要用于开展工程总承包管理办法深度解析培训、九大员继续教育培训、2020年文明创建工作业务集中培训。未举办节庆、晚会、论坛、赛事活动，开支0万元。</w:t>
      </w:r>
    </w:p>
    <w:p>
      <w:pPr>
        <w:pStyle w:val="11"/>
        <w:rPr>
          <w:rFonts w:hAnsi="黑体"/>
          <w:b/>
          <w:sz w:val="32"/>
          <w:szCs w:val="32"/>
          <w:highlight w:val="none"/>
        </w:rPr>
      </w:pPr>
      <w:r>
        <w:rPr>
          <w:rFonts w:hint="eastAsia" w:hAnsi="黑体"/>
          <w:b/>
          <w:sz w:val="32"/>
          <w:szCs w:val="32"/>
          <w:highlight w:val="none"/>
        </w:rPr>
        <w:t>十一、关于政府采购支出说明</w:t>
      </w:r>
    </w:p>
    <w:p>
      <w:pPr>
        <w:pStyle w:val="11"/>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本单位2020年度无政府采购。</w:t>
      </w:r>
    </w:p>
    <w:p>
      <w:pPr>
        <w:pStyle w:val="11"/>
        <w:rPr>
          <w:rFonts w:hAnsi="黑体"/>
          <w:b/>
          <w:sz w:val="32"/>
          <w:szCs w:val="32"/>
          <w:highlight w:val="none"/>
        </w:rPr>
      </w:pPr>
      <w:r>
        <w:rPr>
          <w:rFonts w:hint="eastAsia" w:hAnsi="黑体"/>
          <w:b/>
          <w:sz w:val="32"/>
          <w:szCs w:val="32"/>
          <w:highlight w:val="none"/>
        </w:rPr>
        <w:t>十二、关于国有资产占用情况说明</w:t>
      </w:r>
    </w:p>
    <w:p>
      <w:pPr>
        <w:pStyle w:val="11"/>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截至2020年12月31日，本单位共有车辆</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辆，其中，主要领导干部用车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辆，机要通信用车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辆、应急保障用车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辆、执法执勤用车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辆、特种专业技术用车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辆、其他用车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辆；单位价值50万元以上通用设备</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台（套）；单位价值100万元以上专用设备</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台（套）。</w:t>
      </w:r>
    </w:p>
    <w:p>
      <w:pPr>
        <w:pStyle w:val="11"/>
        <w:rPr>
          <w:rFonts w:hAnsi="黑体"/>
          <w:b/>
          <w:sz w:val="32"/>
          <w:szCs w:val="32"/>
          <w:highlight w:val="none"/>
        </w:rPr>
      </w:pPr>
      <w:r>
        <w:rPr>
          <w:rFonts w:hint="eastAsia" w:hAnsi="黑体"/>
          <w:b/>
          <w:sz w:val="32"/>
          <w:szCs w:val="32"/>
          <w:highlight w:val="none"/>
        </w:rPr>
        <w:t>十三、关于2020年度预算绩效情况的说明</w:t>
      </w:r>
    </w:p>
    <w:p>
      <w:pPr>
        <w:pStyle w:val="11"/>
        <w:ind w:firstLine="640" w:firstLineChars="200"/>
        <w:rPr>
          <w:rFonts w:hAnsi="黑体"/>
          <w:b/>
          <w:color w:val="auto"/>
          <w:sz w:val="32"/>
          <w:szCs w:val="32"/>
          <w:highlight w:val="none"/>
        </w:rPr>
      </w:pPr>
      <w:r>
        <w:rPr>
          <w:rFonts w:hint="eastAsia" w:asciiTheme="minorEastAsia" w:hAnsiTheme="minorEastAsia" w:eastAsiaTheme="minorEastAsia"/>
          <w:color w:val="auto"/>
          <w:sz w:val="32"/>
          <w:szCs w:val="32"/>
          <w:highlight w:val="none"/>
        </w:rPr>
        <w:t>本单位预算绩效管理开展情况、绩效目标和绩效评价报告等已由上级单位汇总公开，本次随部门决算一同公开。</w:t>
      </w:r>
    </w:p>
    <w:p>
      <w:pPr>
        <w:pStyle w:val="11"/>
        <w:rPr>
          <w:rFonts w:hAnsi="黑体"/>
          <w:b/>
          <w:sz w:val="32"/>
          <w:szCs w:val="3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r>
        <w:rPr>
          <w:rFonts w:hint="eastAsia"/>
          <w:sz w:val="72"/>
          <w:szCs w:val="72"/>
          <w:highlight w:val="none"/>
        </w:rPr>
        <w:t>第四部分</w:t>
      </w:r>
    </w:p>
    <w:p>
      <w:pPr>
        <w:jc w:val="center"/>
        <w:rPr>
          <w:rFonts w:ascii="黑体" w:eastAsia="黑体" w:cs="黑体"/>
          <w:color w:val="000000"/>
          <w:kern w:val="0"/>
          <w:sz w:val="70"/>
          <w:szCs w:val="70"/>
          <w:highlight w:val="none"/>
        </w:rPr>
      </w:pPr>
    </w:p>
    <w:p>
      <w:pPr>
        <w:jc w:val="center"/>
        <w:rPr>
          <w:rFonts w:ascii="黑体" w:eastAsia="黑体" w:cs="黑体"/>
          <w:color w:val="000000"/>
          <w:kern w:val="0"/>
          <w:sz w:val="70"/>
          <w:szCs w:val="70"/>
          <w:highlight w:val="none"/>
        </w:rPr>
      </w:pPr>
      <w:r>
        <w:rPr>
          <w:rFonts w:hint="eastAsia" w:ascii="黑体" w:eastAsia="黑体" w:cs="黑体"/>
          <w:color w:val="000000"/>
          <w:kern w:val="0"/>
          <w:sz w:val="70"/>
          <w:szCs w:val="70"/>
          <w:highlight w:val="none"/>
        </w:rPr>
        <w:t>名词解释</w:t>
      </w:r>
    </w:p>
    <w:p>
      <w:pPr>
        <w:widowControl/>
        <w:jc w:val="left"/>
        <w:rPr>
          <w:rFonts w:ascii="黑体" w:eastAsia="黑体" w:cs="黑体"/>
          <w:color w:val="000000"/>
          <w:kern w:val="0"/>
          <w:sz w:val="70"/>
          <w:szCs w:val="70"/>
          <w:highlight w:val="none"/>
        </w:rPr>
      </w:pPr>
      <w:r>
        <w:rPr>
          <w:rFonts w:ascii="黑体" w:eastAsia="黑体" w:cs="黑体"/>
          <w:color w:val="000000"/>
          <w:kern w:val="0"/>
          <w:sz w:val="70"/>
          <w:szCs w:val="70"/>
          <w:highlight w:val="none"/>
        </w:rPr>
        <w:br w:type="page"/>
      </w:r>
    </w:p>
    <w:p>
      <w:pPr>
        <w:ind w:firstLine="640" w:firstLineChars="200"/>
        <w:jc w:val="left"/>
        <w:rPr>
          <w:rFonts w:cs="黑体" w:asciiTheme="minorEastAsia" w:hAnsiTheme="minorEastAsia"/>
          <w:color w:val="000000"/>
          <w:kern w:val="0"/>
          <w:sz w:val="32"/>
          <w:szCs w:val="32"/>
          <w:highlight w:val="none"/>
        </w:rPr>
      </w:pPr>
    </w:p>
    <w:p>
      <w:pPr>
        <w:widowControl/>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 xml:space="preserve">     一、基本支出：指为保障机构正常运转、完成日常工作任务而发生的各项支出，包括人员支出和公用支出。</w:t>
      </w:r>
      <w:r>
        <w:rPr>
          <w:rFonts w:hint="eastAsia" w:cs="黑体" w:asciiTheme="minorEastAsia" w:hAnsiTheme="minorEastAsia"/>
          <w:color w:val="000000"/>
          <w:kern w:val="0"/>
          <w:sz w:val="32"/>
          <w:szCs w:val="32"/>
          <w:highlight w:val="none"/>
        </w:rPr>
        <w:br w:type="textWrapping"/>
      </w:r>
      <w:r>
        <w:rPr>
          <w:rFonts w:hint="eastAsia" w:cs="黑体" w:asciiTheme="minorEastAsia" w:hAnsiTheme="minorEastAsia"/>
          <w:color w:val="000000"/>
          <w:kern w:val="0"/>
          <w:sz w:val="32"/>
          <w:szCs w:val="32"/>
          <w:highlight w:val="none"/>
        </w:rPr>
        <w:t xml:space="preserve">     二、项目支出：指在基本支出以外为完成相关行政任务和事业发展目标所发生的各项支出。</w:t>
      </w:r>
      <w:r>
        <w:rPr>
          <w:rFonts w:hint="eastAsia" w:cs="黑体" w:asciiTheme="minorEastAsia" w:hAnsiTheme="minorEastAsia"/>
          <w:color w:val="000000"/>
          <w:kern w:val="0"/>
          <w:sz w:val="32"/>
          <w:szCs w:val="32"/>
          <w:highlight w:val="none"/>
        </w:rPr>
        <w:br w:type="textWrapping"/>
      </w:r>
      <w:r>
        <w:rPr>
          <w:rFonts w:hint="eastAsia" w:cs="黑体" w:asciiTheme="minorEastAsia" w:hAnsiTheme="minorEastAsia"/>
          <w:color w:val="000000"/>
          <w:kern w:val="0"/>
          <w:sz w:val="32"/>
          <w:szCs w:val="32"/>
          <w:highlight w:val="none"/>
        </w:rPr>
        <w:t xml:space="preserve">     三、“三公”经费：指通过财政拨款资金安排的因公出国（境）费、公务用车购置及运行费和公务接待费支出。</w:t>
      </w:r>
      <w:r>
        <w:rPr>
          <w:rFonts w:hint="eastAsia" w:cs="黑体" w:asciiTheme="minorEastAsia" w:hAnsiTheme="minorEastAsia"/>
          <w:color w:val="000000"/>
          <w:kern w:val="0"/>
          <w:sz w:val="32"/>
          <w:szCs w:val="32"/>
          <w:highlight w:val="none"/>
        </w:rPr>
        <w:br w:type="textWrapping"/>
      </w:r>
      <w:r>
        <w:rPr>
          <w:rFonts w:hint="eastAsia" w:cs="黑体" w:asciiTheme="minorEastAsia" w:hAnsiTheme="minorEastAsia"/>
          <w:color w:val="000000"/>
          <w:kern w:val="0"/>
          <w:sz w:val="32"/>
          <w:szCs w:val="32"/>
          <w:highlight w:val="none"/>
        </w:rPr>
        <w:t xml:space="preserve">     四、机关运行经费：是指行政单位和参照公务员法管理事业单位一般公共预算财政拨款基本支出中公用经费之和，包括办公及印刷费、邮电费、差旅费、会议费、福利费、日常维修费、专用材料及一般设备购置费、办公用房水电费、办公用房取暖费、办公用房物业管理费、公务用车运行维护费以及其他费用等。</w:t>
      </w:r>
    </w:p>
    <w:p>
      <w:pPr>
        <w:widowControl/>
        <w:jc w:val="left"/>
        <w:rPr>
          <w:rFonts w:eastAsia="黑体" w:cs="黑体" w:asciiTheme="minorEastAsia" w:hAnsiTheme="minorEastAsia"/>
          <w:color w:val="000000"/>
          <w:kern w:val="0"/>
          <w:sz w:val="28"/>
          <w:szCs w:val="3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p>
    <w:p>
      <w:pPr>
        <w:pStyle w:val="11"/>
        <w:jc w:val="center"/>
        <w:rPr>
          <w:sz w:val="72"/>
          <w:szCs w:val="72"/>
          <w:highlight w:val="none"/>
        </w:rPr>
      </w:pPr>
      <w:r>
        <w:rPr>
          <w:rFonts w:hint="eastAsia"/>
          <w:sz w:val="72"/>
          <w:szCs w:val="72"/>
          <w:highlight w:val="none"/>
        </w:rPr>
        <w:t>第五部分</w:t>
      </w:r>
    </w:p>
    <w:p>
      <w:pPr>
        <w:jc w:val="center"/>
        <w:rPr>
          <w:rFonts w:ascii="黑体" w:eastAsia="黑体" w:cs="黑体"/>
          <w:color w:val="000000"/>
          <w:kern w:val="0"/>
          <w:sz w:val="70"/>
          <w:szCs w:val="70"/>
          <w:highlight w:val="none"/>
        </w:rPr>
      </w:pPr>
    </w:p>
    <w:p>
      <w:pPr>
        <w:jc w:val="center"/>
        <w:rPr>
          <w:rFonts w:ascii="黑体" w:eastAsia="黑体" w:cs="黑体"/>
          <w:color w:val="000000"/>
          <w:kern w:val="0"/>
          <w:sz w:val="70"/>
          <w:szCs w:val="70"/>
          <w:highlight w:val="none"/>
        </w:rPr>
      </w:pPr>
      <w:r>
        <w:rPr>
          <w:rFonts w:hint="eastAsia" w:ascii="黑体" w:eastAsia="黑体" w:cs="黑体"/>
          <w:color w:val="000000"/>
          <w:kern w:val="0"/>
          <w:sz w:val="70"/>
          <w:szCs w:val="70"/>
          <w:highlight w:val="none"/>
        </w:rPr>
        <w:t>附件</w:t>
      </w:r>
    </w:p>
    <w:p>
      <w:pPr>
        <w:widowControl/>
        <w:jc w:val="left"/>
        <w:rPr>
          <w:rFonts w:ascii="黑体" w:eastAsia="黑体" w:cs="黑体"/>
          <w:color w:val="000000"/>
          <w:kern w:val="0"/>
          <w:sz w:val="70"/>
          <w:szCs w:val="70"/>
          <w:highlight w:val="none"/>
        </w:rPr>
      </w:pPr>
      <w:r>
        <w:rPr>
          <w:rFonts w:ascii="黑体" w:eastAsia="黑体" w:cs="黑体"/>
          <w:color w:val="000000"/>
          <w:kern w:val="0"/>
          <w:sz w:val="70"/>
          <w:szCs w:val="70"/>
          <w:highlight w:val="none"/>
        </w:rPr>
        <w:br w:type="page"/>
      </w:r>
    </w:p>
    <w:p>
      <w:pPr>
        <w:jc w:val="center"/>
        <w:rPr>
          <w:rFonts w:ascii="黑体" w:eastAsia="黑体" w:cs="黑体"/>
          <w:color w:val="000000"/>
          <w:kern w:val="0"/>
          <w:sz w:val="70"/>
          <w:szCs w:val="70"/>
          <w:highlight w:val="none"/>
        </w:rPr>
      </w:pPr>
    </w:p>
    <w:p>
      <w:pPr>
        <w:ind w:firstLine="640" w:firstLineChars="200"/>
        <w:jc w:val="center"/>
        <w:rPr>
          <w:rFonts w:cs="黑体" w:asciiTheme="minorEastAsia" w:hAnsiTheme="minorEastAsia"/>
          <w:b/>
          <w:color w:val="000000"/>
          <w:kern w:val="0"/>
          <w:sz w:val="32"/>
          <w:szCs w:val="32"/>
          <w:highlight w:val="none"/>
        </w:rPr>
      </w:pPr>
      <w:r>
        <w:rPr>
          <w:rFonts w:hint="eastAsia" w:cs="黑体" w:asciiTheme="minorEastAsia" w:hAnsiTheme="minorEastAsia"/>
          <w:b/>
          <w:color w:val="000000"/>
          <w:kern w:val="0"/>
          <w:sz w:val="32"/>
          <w:szCs w:val="32"/>
          <w:highlight w:val="none"/>
        </w:rPr>
        <w:t>2020年度部门整体支出绩效评价报告</w:t>
      </w:r>
    </w:p>
    <w:p>
      <w:pPr>
        <w:rPr>
          <w:rFonts w:ascii="仿宋_GB2312" w:eastAsia="仿宋_GB2312"/>
          <w:sz w:val="30"/>
          <w:szCs w:val="30"/>
          <w:highlight w:val="none"/>
        </w:rPr>
      </w:pPr>
    </w:p>
    <w:p>
      <w:pPr>
        <w:spacing w:line="600" w:lineRule="exact"/>
        <w:rPr>
          <w:rFonts w:eastAsia="黑体"/>
          <w:kern w:val="0"/>
          <w:sz w:val="32"/>
          <w:szCs w:val="32"/>
          <w:highlight w:val="none"/>
        </w:rPr>
      </w:pPr>
      <w:r>
        <w:rPr>
          <w:rFonts w:hint="eastAsia" w:eastAsia="黑体"/>
          <w:kern w:val="0"/>
          <w:sz w:val="32"/>
          <w:szCs w:val="32"/>
          <w:highlight w:val="none"/>
        </w:rPr>
        <w:t>附件1</w:t>
      </w:r>
    </w:p>
    <w:p>
      <w:pPr>
        <w:spacing w:line="600" w:lineRule="exact"/>
        <w:rPr>
          <w:rFonts w:eastAsia="黑体"/>
          <w:kern w:val="0"/>
          <w:sz w:val="32"/>
          <w:szCs w:val="32"/>
          <w:highlight w:val="none"/>
        </w:rPr>
      </w:pPr>
    </w:p>
    <w:p>
      <w:pPr>
        <w:spacing w:line="600" w:lineRule="exact"/>
        <w:rPr>
          <w:rFonts w:eastAsia="黑体"/>
          <w:kern w:val="0"/>
          <w:sz w:val="32"/>
          <w:szCs w:val="32"/>
          <w:highlight w:val="none"/>
        </w:rPr>
      </w:pPr>
    </w:p>
    <w:p>
      <w:pPr>
        <w:spacing w:line="600" w:lineRule="exact"/>
        <w:rPr>
          <w:rFonts w:eastAsia="黑体"/>
          <w:kern w:val="0"/>
          <w:sz w:val="32"/>
          <w:szCs w:val="32"/>
          <w:highlight w:val="none"/>
        </w:rPr>
      </w:pPr>
    </w:p>
    <w:p>
      <w:pPr>
        <w:jc w:val="center"/>
        <w:rPr>
          <w:rFonts w:ascii="方正小标宋_GBK" w:eastAsia="方正小标宋_GBK"/>
          <w:sz w:val="52"/>
          <w:szCs w:val="52"/>
          <w:highlight w:val="none"/>
        </w:rPr>
      </w:pPr>
      <w:r>
        <w:rPr>
          <w:rFonts w:hint="eastAsia" w:ascii="方正小标宋_GBK" w:eastAsia="方正小标宋_GBK"/>
          <w:sz w:val="52"/>
          <w:szCs w:val="52"/>
          <w:highlight w:val="none"/>
        </w:rPr>
        <w:t>2020年度湖南有色地质工程测试研究中心整体支出</w:t>
      </w:r>
    </w:p>
    <w:p>
      <w:pPr>
        <w:jc w:val="center"/>
        <w:rPr>
          <w:rFonts w:ascii="方正小标宋_GBK" w:eastAsia="方正小标宋_GBK"/>
          <w:sz w:val="52"/>
          <w:szCs w:val="52"/>
          <w:highlight w:val="none"/>
        </w:rPr>
      </w:pPr>
      <w:r>
        <w:rPr>
          <w:rFonts w:hint="eastAsia" w:ascii="方正小标宋_GBK" w:eastAsia="方正小标宋_GBK"/>
          <w:sz w:val="52"/>
          <w:szCs w:val="52"/>
          <w:highlight w:val="none"/>
        </w:rPr>
        <w:t>绩效自评报告</w:t>
      </w:r>
    </w:p>
    <w:p>
      <w:pPr>
        <w:jc w:val="center"/>
        <w:rPr>
          <w:rFonts w:ascii="方正小标宋_GBK" w:eastAsia="方正小标宋_GBK"/>
          <w:b/>
          <w:sz w:val="52"/>
          <w:szCs w:val="52"/>
          <w:highlight w:val="none"/>
        </w:rPr>
      </w:pPr>
    </w:p>
    <w:p>
      <w:pPr>
        <w:jc w:val="center"/>
        <w:rPr>
          <w:rFonts w:eastAsia="楷体_GB2312"/>
          <w:b/>
          <w:sz w:val="32"/>
          <w:szCs w:val="32"/>
          <w:highlight w:val="none"/>
        </w:rPr>
      </w:pPr>
    </w:p>
    <w:p>
      <w:pPr>
        <w:jc w:val="center"/>
        <w:rPr>
          <w:rFonts w:eastAsia="楷体_GB2312"/>
          <w:b/>
          <w:sz w:val="32"/>
          <w:szCs w:val="32"/>
          <w:highlight w:val="none"/>
        </w:rPr>
      </w:pPr>
    </w:p>
    <w:p>
      <w:pPr>
        <w:jc w:val="center"/>
        <w:rPr>
          <w:rFonts w:eastAsia="楷体_GB2312"/>
          <w:b/>
          <w:sz w:val="32"/>
          <w:szCs w:val="32"/>
          <w:highlight w:val="none"/>
        </w:rPr>
      </w:pPr>
    </w:p>
    <w:p>
      <w:pPr>
        <w:jc w:val="center"/>
        <w:rPr>
          <w:rFonts w:eastAsia="楷体_GB2312"/>
          <w:b/>
          <w:sz w:val="32"/>
          <w:szCs w:val="32"/>
          <w:highlight w:val="none"/>
        </w:rPr>
      </w:pPr>
    </w:p>
    <w:p>
      <w:pPr>
        <w:jc w:val="center"/>
        <w:rPr>
          <w:rFonts w:eastAsia="楷体_GB2312"/>
          <w:b/>
          <w:sz w:val="32"/>
          <w:szCs w:val="32"/>
          <w:highlight w:val="none"/>
        </w:rPr>
      </w:pPr>
    </w:p>
    <w:p>
      <w:pPr>
        <w:jc w:val="center"/>
        <w:rPr>
          <w:rFonts w:eastAsia="黑体"/>
          <w:sz w:val="32"/>
          <w:szCs w:val="32"/>
          <w:highlight w:val="none"/>
        </w:rPr>
      </w:pPr>
    </w:p>
    <w:p>
      <w:pPr>
        <w:jc w:val="center"/>
        <w:rPr>
          <w:rFonts w:eastAsia="黑体"/>
          <w:sz w:val="32"/>
          <w:szCs w:val="32"/>
          <w:highlight w:val="none"/>
        </w:rPr>
      </w:pPr>
    </w:p>
    <w:p>
      <w:pPr>
        <w:jc w:val="center"/>
        <w:rPr>
          <w:rFonts w:eastAsia="黑体"/>
          <w:sz w:val="32"/>
          <w:szCs w:val="32"/>
          <w:highlight w:val="none"/>
        </w:rPr>
      </w:pPr>
    </w:p>
    <w:p>
      <w:pPr>
        <w:jc w:val="center"/>
        <w:rPr>
          <w:rFonts w:eastAsia="黑体"/>
          <w:sz w:val="32"/>
          <w:szCs w:val="32"/>
          <w:highlight w:val="none"/>
        </w:rPr>
      </w:pPr>
    </w:p>
    <w:p>
      <w:pPr>
        <w:jc w:val="center"/>
        <w:rPr>
          <w:rFonts w:eastAsia="黑体"/>
          <w:sz w:val="32"/>
          <w:szCs w:val="32"/>
          <w:highlight w:val="none"/>
        </w:rPr>
      </w:pPr>
    </w:p>
    <w:p>
      <w:pPr>
        <w:jc w:val="center"/>
        <w:rPr>
          <w:rFonts w:eastAsia="黑体"/>
          <w:sz w:val="32"/>
          <w:szCs w:val="32"/>
          <w:highlight w:val="none"/>
        </w:rPr>
      </w:pPr>
    </w:p>
    <w:p>
      <w:pPr>
        <w:numPr>
          <w:ilvl w:val="0"/>
          <w:numId w:val="3"/>
        </w:numPr>
        <w:rPr>
          <w:rFonts w:ascii="黑体" w:eastAsia="黑体"/>
          <w:sz w:val="32"/>
          <w:szCs w:val="32"/>
          <w:highlight w:val="none"/>
        </w:rPr>
      </w:pPr>
      <w:r>
        <w:rPr>
          <w:rFonts w:hint="eastAsia" w:ascii="黑体" w:eastAsia="黑体"/>
          <w:sz w:val="32"/>
          <w:szCs w:val="32"/>
          <w:highlight w:val="none"/>
        </w:rPr>
        <w:t>单位基本情况</w:t>
      </w:r>
    </w:p>
    <w:p>
      <w:pPr>
        <w:ind w:firstLine="640" w:firstLineChars="200"/>
        <w:rPr>
          <w:rFonts w:ascii="楷体_GB2312" w:hAnsi="仿宋" w:eastAsia="楷体_GB2312"/>
          <w:b/>
          <w:sz w:val="32"/>
          <w:szCs w:val="32"/>
          <w:highlight w:val="none"/>
        </w:rPr>
      </w:pPr>
      <w:r>
        <w:rPr>
          <w:rFonts w:hint="eastAsia" w:ascii="楷体_GB2312" w:hAnsi="仿宋" w:eastAsia="楷体_GB2312"/>
          <w:b/>
          <w:sz w:val="32"/>
          <w:szCs w:val="32"/>
          <w:highlight w:val="none"/>
        </w:rPr>
        <w:t>（一）基本情况。</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主要职能：湖南有色地质工程测试研究中心（简称测研中心）成立于1955年7月，位于湖南省长沙市经开区东六路100号南段有色地勘大厦，2013年1月1日与湖南湘江工程建设有限公司整合重组而成，是一支集工程地质测试研究及生产、房地产开发、建筑施工于一体的综合性地勘队伍。</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单位于2005年通过了ISO9000质量体系认证，2009年通过安全、环境两大体系认证。近60余年来，测研中心为湖南省乃至全国的地址勘查单位研制生产了大批地质钻探、基础工程、机械加工等设备，为湖南的地质找矿事业贡献了力量。</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2、机构情况：测研中心设有综合科、党群科、人事科、财务融资科、战略发展科、商务合约科、监察审计科、生产安全科、经营科、项目管理科10个科室。</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3、人员情况：2020年末，测研中心共有职工161人，其中在职职工101人，退休职工60人。</w:t>
      </w:r>
    </w:p>
    <w:p>
      <w:pPr>
        <w:widowControl/>
        <w:spacing w:line="600" w:lineRule="exact"/>
        <w:rPr>
          <w:rFonts w:eastAsia="黑体"/>
          <w:sz w:val="32"/>
          <w:szCs w:val="32"/>
          <w:highlight w:val="none"/>
        </w:rPr>
      </w:pPr>
      <w:r>
        <w:rPr>
          <w:rFonts w:hint="eastAsia" w:eastAsia="黑体"/>
          <w:sz w:val="32"/>
          <w:szCs w:val="32"/>
          <w:highlight w:val="none"/>
        </w:rPr>
        <w:t>二、一般公共预算支出情况</w:t>
      </w:r>
    </w:p>
    <w:p>
      <w:pPr>
        <w:widowControl/>
        <w:spacing w:line="600" w:lineRule="exact"/>
        <w:ind w:firstLine="627" w:firstLineChars="196"/>
        <w:rPr>
          <w:rFonts w:ascii="楷体_GB2312" w:eastAsia="楷体_GB2312"/>
          <w:b/>
          <w:sz w:val="32"/>
          <w:szCs w:val="32"/>
          <w:highlight w:val="none"/>
        </w:rPr>
      </w:pPr>
      <w:r>
        <w:rPr>
          <w:rFonts w:hint="eastAsia" w:ascii="楷体_GB2312" w:eastAsia="楷体_GB2312"/>
          <w:b/>
          <w:sz w:val="32"/>
          <w:szCs w:val="32"/>
          <w:highlight w:val="none"/>
        </w:rPr>
        <w:t>（一）基本支出情况</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2020年我单位基本支出1174.23元，人员经费1087.61万元，其中工资福利支出1030.19万元，对个人和家庭的补助57.42万元；日常公用经费86.62万元，其中办公费4.4万元、印刷费1万元、电费1万元、邮电费0.54万元、取暖费17.02万元、物业管理费10.21万元、差旅费3万元、维修费0.5万元、会议费1万元、培训费1.5万元、公务接待费4万元、工会经费11.02万元、福利费1.98万元、公务运行维护费3.5万元，其他商品和服务支出25.95万元。</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基本支出是保障我中心机构正常运转、完成日常工作任务发生的各项支出，包括用于基本工资等人员经费及办公费、印刷费等日常公用经费。</w:t>
      </w:r>
    </w:p>
    <w:p>
      <w:pPr>
        <w:widowControl/>
        <w:spacing w:line="600" w:lineRule="exact"/>
        <w:ind w:firstLine="640" w:firstLineChars="200"/>
        <w:rPr>
          <w:rFonts w:ascii="楷体_GB2312" w:eastAsia="楷体_GB2312"/>
          <w:b/>
          <w:sz w:val="32"/>
          <w:szCs w:val="32"/>
          <w:highlight w:val="none"/>
        </w:rPr>
      </w:pPr>
      <w:r>
        <w:rPr>
          <w:rFonts w:hint="eastAsia" w:ascii="楷体_GB2312" w:eastAsia="楷体_GB2312"/>
          <w:b/>
          <w:sz w:val="32"/>
          <w:szCs w:val="32"/>
          <w:highlight w:val="none"/>
        </w:rPr>
        <w:t>（二）项目支出情况</w:t>
      </w:r>
    </w:p>
    <w:p>
      <w:pPr>
        <w:widowControl/>
        <w:spacing w:line="600" w:lineRule="exact"/>
        <w:ind w:firstLine="640" w:firstLineChars="200"/>
        <w:jc w:val="left"/>
        <w:rPr>
          <w:rFonts w:eastAsia="黑体"/>
          <w:sz w:val="32"/>
          <w:szCs w:val="32"/>
          <w:highlight w:val="none"/>
        </w:rPr>
      </w:pPr>
      <w:r>
        <w:rPr>
          <w:rFonts w:hint="eastAsia" w:eastAsia="黑体"/>
          <w:sz w:val="32"/>
          <w:szCs w:val="32"/>
          <w:highlight w:val="none"/>
        </w:rPr>
        <w:t>本单位无项目支出</w:t>
      </w:r>
    </w:p>
    <w:p>
      <w:pPr>
        <w:widowControl/>
        <w:spacing w:line="600" w:lineRule="exact"/>
        <w:jc w:val="left"/>
        <w:rPr>
          <w:rFonts w:eastAsia="黑体"/>
          <w:sz w:val="32"/>
          <w:szCs w:val="32"/>
          <w:highlight w:val="none"/>
        </w:rPr>
      </w:pPr>
      <w:r>
        <w:rPr>
          <w:rFonts w:hint="eastAsia" w:eastAsia="黑体"/>
          <w:sz w:val="32"/>
          <w:szCs w:val="32"/>
          <w:highlight w:val="none"/>
        </w:rPr>
        <w:t>三、政府性基金预算支出情况</w:t>
      </w:r>
    </w:p>
    <w:p>
      <w:pPr>
        <w:widowControl/>
        <w:spacing w:line="600" w:lineRule="exact"/>
        <w:ind w:firstLine="640" w:firstLineChars="200"/>
        <w:jc w:val="left"/>
        <w:rPr>
          <w:rFonts w:eastAsia="黑体"/>
          <w:sz w:val="32"/>
          <w:szCs w:val="32"/>
          <w:highlight w:val="none"/>
        </w:rPr>
      </w:pPr>
      <w:r>
        <w:rPr>
          <w:rFonts w:hint="eastAsia" w:eastAsia="黑体"/>
          <w:sz w:val="32"/>
          <w:szCs w:val="32"/>
          <w:highlight w:val="none"/>
        </w:rPr>
        <w:t>“本单位无政府性基金预算支出”</w:t>
      </w:r>
    </w:p>
    <w:p>
      <w:pPr>
        <w:widowControl/>
        <w:spacing w:line="600" w:lineRule="exact"/>
        <w:jc w:val="left"/>
        <w:rPr>
          <w:rFonts w:eastAsia="黑体"/>
          <w:sz w:val="32"/>
          <w:szCs w:val="32"/>
          <w:highlight w:val="none"/>
        </w:rPr>
      </w:pPr>
      <w:r>
        <w:rPr>
          <w:rFonts w:hint="eastAsia" w:eastAsia="黑体"/>
          <w:sz w:val="32"/>
          <w:szCs w:val="32"/>
          <w:highlight w:val="none"/>
        </w:rPr>
        <w:t>四、国有资本经营预算支出情况</w:t>
      </w:r>
    </w:p>
    <w:p>
      <w:pPr>
        <w:widowControl/>
        <w:spacing w:line="600" w:lineRule="exact"/>
        <w:ind w:firstLine="640" w:firstLineChars="200"/>
        <w:jc w:val="left"/>
        <w:rPr>
          <w:rFonts w:eastAsia="黑体"/>
          <w:sz w:val="32"/>
          <w:szCs w:val="32"/>
          <w:highlight w:val="none"/>
        </w:rPr>
      </w:pPr>
      <w:r>
        <w:rPr>
          <w:rFonts w:hint="eastAsia" w:eastAsia="黑体"/>
          <w:sz w:val="32"/>
          <w:szCs w:val="32"/>
          <w:highlight w:val="none"/>
        </w:rPr>
        <w:t>“本单位无国有资本经营预算支出”</w:t>
      </w:r>
    </w:p>
    <w:p>
      <w:pPr>
        <w:widowControl/>
        <w:spacing w:line="600" w:lineRule="exact"/>
        <w:jc w:val="left"/>
        <w:rPr>
          <w:rFonts w:eastAsia="黑体"/>
          <w:sz w:val="32"/>
          <w:szCs w:val="32"/>
          <w:highlight w:val="none"/>
        </w:rPr>
      </w:pPr>
      <w:r>
        <w:rPr>
          <w:rFonts w:hint="eastAsia" w:eastAsia="黑体"/>
          <w:sz w:val="32"/>
          <w:szCs w:val="32"/>
          <w:highlight w:val="none"/>
        </w:rPr>
        <w:t>五、社会保险基金预算支出情况</w:t>
      </w:r>
    </w:p>
    <w:p>
      <w:pPr>
        <w:widowControl/>
        <w:spacing w:line="600" w:lineRule="exact"/>
        <w:ind w:firstLine="640" w:firstLineChars="200"/>
        <w:jc w:val="left"/>
        <w:rPr>
          <w:rFonts w:eastAsia="黑体"/>
          <w:sz w:val="32"/>
          <w:szCs w:val="32"/>
          <w:highlight w:val="none"/>
        </w:rPr>
      </w:pPr>
      <w:r>
        <w:rPr>
          <w:rFonts w:hint="eastAsia" w:eastAsia="黑体"/>
          <w:sz w:val="32"/>
          <w:szCs w:val="32"/>
          <w:highlight w:val="none"/>
        </w:rPr>
        <w:t>“本单位无社会保险基金预算支出”</w:t>
      </w:r>
    </w:p>
    <w:p>
      <w:pPr>
        <w:widowControl/>
        <w:spacing w:line="600" w:lineRule="exact"/>
        <w:jc w:val="left"/>
        <w:rPr>
          <w:rFonts w:eastAsia="黑体"/>
          <w:sz w:val="32"/>
          <w:szCs w:val="32"/>
          <w:highlight w:val="none"/>
        </w:rPr>
      </w:pPr>
      <w:r>
        <w:rPr>
          <w:rFonts w:hint="eastAsia" w:eastAsia="黑体"/>
          <w:sz w:val="32"/>
          <w:szCs w:val="32"/>
          <w:highlight w:val="none"/>
        </w:rPr>
        <w:t>六、单位整体支出绩效情况</w:t>
      </w:r>
    </w:p>
    <w:p>
      <w:pPr>
        <w:widowControl/>
        <w:spacing w:line="600" w:lineRule="exact"/>
        <w:ind w:firstLine="320" w:firstLineChars="100"/>
        <w:jc w:val="left"/>
        <w:rPr>
          <w:rFonts w:eastAsia="黑体"/>
          <w:sz w:val="32"/>
          <w:szCs w:val="32"/>
          <w:highlight w:val="none"/>
        </w:rPr>
      </w:pPr>
      <w:r>
        <w:rPr>
          <w:rFonts w:hint="eastAsia" w:eastAsia="黑体"/>
          <w:sz w:val="32"/>
          <w:szCs w:val="32"/>
          <w:highlight w:val="none"/>
        </w:rPr>
        <w:t>（一）整体支出情况</w:t>
      </w:r>
    </w:p>
    <w:p>
      <w:pPr>
        <w:widowControl/>
        <w:spacing w:line="600" w:lineRule="exact"/>
        <w:ind w:firstLine="640" w:firstLineChars="200"/>
        <w:jc w:val="left"/>
        <w:rPr>
          <w:rFonts w:eastAsia="黑体"/>
          <w:sz w:val="32"/>
          <w:szCs w:val="32"/>
          <w:highlight w:val="none"/>
        </w:rPr>
      </w:pPr>
      <w:r>
        <w:rPr>
          <w:rFonts w:hint="eastAsia" w:ascii="仿宋_GB2312" w:hAnsi="仿宋" w:eastAsia="仿宋_GB2312"/>
          <w:sz w:val="32"/>
          <w:szCs w:val="32"/>
          <w:highlight w:val="none"/>
        </w:rPr>
        <w:t>1、2020年财政补助拨款预算984.13万元，年度执行中调整增加112.7万元。实际共收到财政补助拨款1174.23万元，追加的财政拨款主要综治奖112.7万元，上年结转综治奖77.4万元。2020年实现总收入1134.03万元，其中财政补助拨款1096.83万元、多种经营收入37.2万元，与上年总收入1470.33万元相比减少336.3万元；总支出1211.43万元，其中财政补助拨款1174.23万元、多种经营支出37.2万元，与上年1391.02万元总支出减少179.59万元</w:t>
      </w:r>
    </w:p>
    <w:p>
      <w:pPr>
        <w:pStyle w:val="5"/>
        <w:widowControl/>
        <w:shd w:val="clear" w:color="auto" w:fill="FFFFFF"/>
        <w:spacing w:before="0" w:beforeAutospacing="0" w:after="0" w:afterAutospacing="0" w:line="33" w:lineRule="atLeast"/>
        <w:ind w:firstLine="640" w:firstLineChars="200"/>
        <w:jc w:val="both"/>
        <w:rPr>
          <w:rFonts w:ascii="仿宋_GB2312" w:hAnsi="仿宋" w:eastAsia="仿宋_GB2312"/>
          <w:kern w:val="2"/>
          <w:sz w:val="32"/>
          <w:szCs w:val="32"/>
          <w:highlight w:val="none"/>
        </w:rPr>
      </w:pPr>
      <w:r>
        <w:rPr>
          <w:rFonts w:hint="eastAsia" w:ascii="仿宋_GB2312" w:hAnsi="仿宋" w:eastAsia="仿宋_GB2312"/>
          <w:kern w:val="2"/>
          <w:sz w:val="32"/>
          <w:szCs w:val="32"/>
          <w:highlight w:val="none"/>
        </w:rPr>
        <w:t>2、预算执行方面，支出总额控制在预算总额以内；2020 年度“三公”经费财政拨款支出预算为7.5万元，支出决算为7.5万元，完成预算的100%，三公经费较去年相比无变化，无出国经费。</w:t>
      </w:r>
    </w:p>
    <w:p>
      <w:pPr>
        <w:widowControl/>
        <w:spacing w:line="600" w:lineRule="exact"/>
        <w:ind w:firstLine="640" w:firstLineChars="200"/>
        <w:jc w:val="left"/>
        <w:rPr>
          <w:rFonts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3、资产管理方面，建立了资产管理制度，定期进行了盘点和资产清理。</w:t>
      </w:r>
    </w:p>
    <w:p>
      <w:pPr>
        <w:widowControl/>
        <w:spacing w:line="600" w:lineRule="exact"/>
        <w:ind w:firstLine="640" w:firstLineChars="200"/>
        <w:jc w:val="left"/>
        <w:rPr>
          <w:rFonts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我单位财政资金预算配置合理合规，预算执行严格有序，预算管理规范可控，资金效益合乎预期。</w:t>
      </w:r>
    </w:p>
    <w:p>
      <w:pPr>
        <w:widowControl/>
        <w:spacing w:line="600" w:lineRule="exact"/>
        <w:ind w:firstLine="320" w:firstLineChars="100"/>
        <w:jc w:val="left"/>
        <w:rPr>
          <w:rFonts w:eastAsia="黑体"/>
          <w:sz w:val="32"/>
          <w:szCs w:val="32"/>
          <w:highlight w:val="none"/>
        </w:rPr>
      </w:pPr>
      <w:r>
        <w:rPr>
          <w:rFonts w:hint="eastAsia" w:eastAsia="黑体"/>
          <w:sz w:val="32"/>
          <w:szCs w:val="32"/>
          <w:highlight w:val="none"/>
        </w:rPr>
        <w:t>（二）产出和效益情况</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cs="Times New Roman"/>
          <w:sz w:val="32"/>
          <w:szCs w:val="32"/>
          <w:highlight w:val="none"/>
        </w:rPr>
        <w:t>1、全力聚焦主业发展。</w:t>
      </w:r>
      <w:r>
        <w:rPr>
          <w:rFonts w:hint="eastAsia" w:ascii="仿宋_GB2312" w:hAnsi="仿宋" w:eastAsia="仿宋_GB2312"/>
          <w:sz w:val="32"/>
          <w:szCs w:val="32"/>
          <w:highlight w:val="none"/>
        </w:rPr>
        <w:t>2020年在上级主管单位的领导下，中心不断加强管理，提升单位整体管理水平和生产经营能力，一方面积极开展了地质探矿机械设备研究、开发、生产和服务。一方面，加强下属实体湘江公司的管理，大力开拓市场，在地质灾害治理及土地整理等领域取得了一定的经济效益和社会效益。代表项目主要中南水官高速K13+305~K13+480段边坡滑坡应急抢险工程、绥江县长江经济带废弃露天矿山生态修复第一标段（二次）工程、黄岐林场西侧地质灾害点治理工程（1标）。</w:t>
      </w:r>
    </w:p>
    <w:p>
      <w:pPr>
        <w:snapToGrid w:val="0"/>
        <w:spacing w:line="52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2、安全稳定保障有方、民生改善尽力用心。2020年度我单位获评“全省综治工作先进单位”，坚持就业优先，较好落实离退休人员各项待遇，基本实现重大节日、生日、因病住院全覆盖。</w:t>
      </w:r>
    </w:p>
    <w:p>
      <w:pPr>
        <w:widowControl/>
        <w:spacing w:line="600" w:lineRule="exact"/>
        <w:jc w:val="left"/>
        <w:rPr>
          <w:rFonts w:eastAsia="黑体"/>
          <w:sz w:val="32"/>
          <w:szCs w:val="32"/>
          <w:highlight w:val="none"/>
        </w:rPr>
      </w:pPr>
      <w:r>
        <w:rPr>
          <w:rFonts w:hint="eastAsia" w:eastAsia="黑体"/>
          <w:sz w:val="32"/>
          <w:szCs w:val="32"/>
          <w:highlight w:val="none"/>
        </w:rPr>
        <w:t>七、存在的问题及原因分析</w:t>
      </w:r>
    </w:p>
    <w:p>
      <w:pPr>
        <w:pStyle w:val="5"/>
        <w:widowControl/>
        <w:shd w:val="clear" w:color="auto" w:fill="FFFFFF"/>
        <w:spacing w:before="0" w:beforeAutospacing="0" w:after="0" w:afterAutospacing="0" w:line="33" w:lineRule="atLeast"/>
        <w:ind w:firstLine="420"/>
        <w:jc w:val="both"/>
        <w:rPr>
          <w:rFonts w:ascii="仿宋_GB2312" w:hAnsi="仿宋" w:eastAsia="仿宋_GB2312"/>
          <w:kern w:val="2"/>
          <w:sz w:val="32"/>
          <w:szCs w:val="32"/>
          <w:highlight w:val="none"/>
        </w:rPr>
      </w:pPr>
      <w:r>
        <w:rPr>
          <w:rFonts w:hint="eastAsia" w:ascii="仿宋_GB2312" w:hAnsi="仿宋" w:eastAsia="仿宋_GB2312"/>
          <w:kern w:val="2"/>
          <w:sz w:val="32"/>
          <w:szCs w:val="32"/>
          <w:highlight w:val="none"/>
        </w:rPr>
        <w:t>1、资金使用计划有待细化。</w:t>
      </w:r>
    </w:p>
    <w:p>
      <w:pPr>
        <w:pStyle w:val="5"/>
        <w:widowControl/>
        <w:shd w:val="clear" w:color="auto" w:fill="FFFFFF"/>
        <w:spacing w:before="0" w:beforeAutospacing="0" w:after="0" w:afterAutospacing="0" w:line="33" w:lineRule="atLeast"/>
        <w:ind w:firstLine="420"/>
        <w:jc w:val="both"/>
        <w:rPr>
          <w:rFonts w:eastAsia="黑体"/>
          <w:sz w:val="32"/>
          <w:szCs w:val="32"/>
          <w:highlight w:val="none"/>
        </w:rPr>
      </w:pPr>
      <w:r>
        <w:rPr>
          <w:rFonts w:hint="eastAsia" w:ascii="仿宋_GB2312" w:hAnsi="仿宋" w:eastAsia="仿宋_GB2312"/>
          <w:kern w:val="2"/>
          <w:sz w:val="32"/>
          <w:szCs w:val="32"/>
          <w:highlight w:val="none"/>
        </w:rPr>
        <w:t>2、年初预算编制有待细化。预算资金缺口大，无法按照省财政预算编制办法来编制年度基本预算，由此带来了可操作性不强的问题，在进行预算编制与执行的过程中，容易产生偏差。</w:t>
      </w:r>
    </w:p>
    <w:p>
      <w:pPr>
        <w:pStyle w:val="5"/>
        <w:widowControl/>
        <w:shd w:val="clear" w:color="auto" w:fill="FFFFFF"/>
        <w:spacing w:before="0" w:beforeAutospacing="0" w:after="0" w:afterAutospacing="0" w:line="33" w:lineRule="atLeast"/>
        <w:jc w:val="both"/>
        <w:rPr>
          <w:rFonts w:eastAsia="黑体"/>
          <w:sz w:val="32"/>
          <w:szCs w:val="32"/>
          <w:highlight w:val="none"/>
        </w:rPr>
      </w:pPr>
      <w:r>
        <w:rPr>
          <w:rFonts w:hint="eastAsia" w:eastAsia="黑体"/>
          <w:sz w:val="32"/>
          <w:szCs w:val="32"/>
          <w:highlight w:val="none"/>
        </w:rPr>
        <w:t>八、下一步改进措施</w:t>
      </w:r>
    </w:p>
    <w:p>
      <w:pPr>
        <w:pStyle w:val="5"/>
        <w:widowControl/>
        <w:shd w:val="clear" w:color="auto" w:fill="FFFFFF"/>
        <w:spacing w:before="0" w:beforeAutospacing="0" w:after="0" w:afterAutospacing="0" w:line="33" w:lineRule="atLeast"/>
        <w:ind w:firstLine="640" w:firstLineChars="200"/>
        <w:jc w:val="both"/>
        <w:rPr>
          <w:rFonts w:ascii="仿宋_GB2312" w:hAnsi="仿宋" w:eastAsia="仿宋_GB2312"/>
          <w:kern w:val="2"/>
          <w:sz w:val="32"/>
          <w:szCs w:val="32"/>
          <w:highlight w:val="none"/>
        </w:rPr>
      </w:pPr>
      <w:r>
        <w:rPr>
          <w:rFonts w:hint="eastAsia" w:ascii="仿宋_GB2312" w:hAnsi="仿宋" w:eastAsia="仿宋_GB2312"/>
          <w:kern w:val="2"/>
          <w:sz w:val="32"/>
          <w:szCs w:val="32"/>
          <w:highlight w:val="none"/>
        </w:rPr>
        <w:t>1、继续从严控制车辆购置及运行费、公务接待费等一般性支出。</w:t>
      </w:r>
    </w:p>
    <w:p>
      <w:pPr>
        <w:pStyle w:val="5"/>
        <w:widowControl/>
        <w:shd w:val="clear" w:color="auto" w:fill="FFFFFF"/>
        <w:spacing w:before="0" w:beforeAutospacing="0" w:after="0" w:afterAutospacing="0" w:line="33" w:lineRule="atLeast"/>
        <w:ind w:firstLine="640" w:firstLineChars="200"/>
        <w:jc w:val="both"/>
        <w:rPr>
          <w:rFonts w:ascii="仿宋_GB2312" w:hAnsi="仿宋" w:eastAsia="仿宋_GB2312"/>
          <w:kern w:val="2"/>
          <w:sz w:val="32"/>
          <w:szCs w:val="32"/>
          <w:highlight w:val="none"/>
        </w:rPr>
      </w:pPr>
      <w:r>
        <w:rPr>
          <w:rFonts w:hint="eastAsia" w:ascii="仿宋_GB2312" w:hAnsi="仿宋" w:eastAsia="仿宋_GB2312"/>
          <w:kern w:val="2"/>
          <w:sz w:val="32"/>
          <w:szCs w:val="32"/>
          <w:highlight w:val="none"/>
        </w:rPr>
        <w:t>2、加强财务管理，严格财务审核。在费用报账支付时，按照预算规定的费用项目和用途进行资金使用审核、列报支付、财务核算，杜绝超支现象的发生。</w:t>
      </w:r>
    </w:p>
    <w:p>
      <w:pPr>
        <w:pStyle w:val="5"/>
        <w:widowControl/>
        <w:shd w:val="clear" w:color="auto" w:fill="FFFFFF"/>
        <w:spacing w:before="0" w:beforeAutospacing="0" w:after="0" w:afterAutospacing="0" w:line="33" w:lineRule="atLeast"/>
        <w:jc w:val="both"/>
        <w:rPr>
          <w:rFonts w:eastAsia="黑体"/>
          <w:sz w:val="32"/>
          <w:szCs w:val="32"/>
          <w:highlight w:val="none"/>
        </w:rPr>
      </w:pPr>
      <w:r>
        <w:rPr>
          <w:rFonts w:hint="eastAsia" w:ascii="黑体" w:hAnsi="黑体" w:eastAsia="黑体" w:cs="黑体"/>
          <w:b/>
          <w:bCs/>
          <w:kern w:val="2"/>
          <w:sz w:val="32"/>
          <w:szCs w:val="32"/>
          <w:highlight w:val="none"/>
        </w:rPr>
        <w:t>九、</w:t>
      </w:r>
      <w:r>
        <w:rPr>
          <w:rFonts w:hint="eastAsia" w:eastAsia="黑体"/>
          <w:sz w:val="32"/>
          <w:szCs w:val="32"/>
          <w:highlight w:val="none"/>
        </w:rPr>
        <w:t>部门整体支出绩效自评结果拟应用和公开情况</w:t>
      </w:r>
    </w:p>
    <w:p>
      <w:pPr>
        <w:widowControl/>
        <w:spacing w:line="600" w:lineRule="exact"/>
        <w:ind w:firstLine="640" w:firstLineChars="200"/>
        <w:jc w:val="left"/>
        <w:rPr>
          <w:rFonts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本单位将根据财政厅的要求在湖南省地质院门户网站公开本自评报告，接受社会大众监督</w:t>
      </w:r>
    </w:p>
    <w:p>
      <w:pPr>
        <w:widowControl/>
        <w:spacing w:line="600" w:lineRule="exact"/>
        <w:jc w:val="left"/>
        <w:rPr>
          <w:rFonts w:eastAsia="黑体"/>
          <w:sz w:val="32"/>
          <w:szCs w:val="32"/>
          <w:highlight w:val="none"/>
        </w:rPr>
      </w:pPr>
    </w:p>
    <w:p>
      <w:pPr>
        <w:widowControl/>
        <w:spacing w:after="156" w:afterLines="50" w:line="600" w:lineRule="exact"/>
        <w:jc w:val="left"/>
        <w:rPr>
          <w:rFonts w:eastAsia="黑体"/>
          <w:sz w:val="32"/>
          <w:szCs w:val="32"/>
          <w:highlight w:val="none"/>
        </w:rPr>
      </w:pPr>
    </w:p>
    <w:p>
      <w:pPr>
        <w:widowControl/>
        <w:spacing w:after="156" w:afterLines="50" w:line="600" w:lineRule="exact"/>
        <w:jc w:val="left"/>
        <w:rPr>
          <w:rFonts w:eastAsia="黑体"/>
          <w:sz w:val="32"/>
          <w:szCs w:val="32"/>
          <w:highlight w:val="none"/>
        </w:rPr>
      </w:pPr>
    </w:p>
    <w:p>
      <w:pPr>
        <w:widowControl/>
        <w:spacing w:after="156" w:afterLines="50" w:line="600" w:lineRule="exact"/>
        <w:jc w:val="left"/>
        <w:rPr>
          <w:rFonts w:eastAsia="黑体"/>
          <w:sz w:val="32"/>
          <w:szCs w:val="32"/>
          <w:highlight w:val="none"/>
        </w:rPr>
      </w:pPr>
    </w:p>
    <w:p>
      <w:pPr>
        <w:widowControl/>
        <w:spacing w:after="156" w:afterLines="50" w:line="600" w:lineRule="exact"/>
        <w:jc w:val="left"/>
        <w:rPr>
          <w:rFonts w:eastAsia="黑体"/>
          <w:sz w:val="32"/>
          <w:szCs w:val="32"/>
          <w:highlight w:val="none"/>
        </w:rPr>
      </w:pPr>
    </w:p>
    <w:p>
      <w:pPr>
        <w:widowControl/>
        <w:spacing w:after="156" w:afterLines="50" w:line="600" w:lineRule="exact"/>
        <w:jc w:val="left"/>
        <w:rPr>
          <w:rFonts w:eastAsia="黑体"/>
          <w:sz w:val="32"/>
          <w:szCs w:val="32"/>
          <w:highlight w:val="none"/>
        </w:rPr>
      </w:pPr>
    </w:p>
    <w:p>
      <w:pPr>
        <w:widowControl/>
        <w:spacing w:after="156" w:afterLines="50" w:line="600" w:lineRule="exact"/>
        <w:jc w:val="left"/>
        <w:rPr>
          <w:rFonts w:eastAsia="黑体"/>
          <w:sz w:val="32"/>
          <w:szCs w:val="32"/>
          <w:highlight w:val="none"/>
        </w:rPr>
      </w:pPr>
    </w:p>
    <w:p>
      <w:pPr>
        <w:widowControl/>
        <w:spacing w:after="156" w:afterLines="50" w:line="600" w:lineRule="exact"/>
        <w:jc w:val="left"/>
        <w:rPr>
          <w:rFonts w:eastAsia="黑体"/>
          <w:sz w:val="32"/>
          <w:szCs w:val="32"/>
          <w:highlight w:val="none"/>
        </w:rPr>
      </w:pPr>
    </w:p>
    <w:p>
      <w:pPr>
        <w:widowControl/>
        <w:spacing w:after="156" w:afterLines="50" w:line="600" w:lineRule="exact"/>
        <w:jc w:val="left"/>
        <w:rPr>
          <w:rFonts w:eastAsia="黑体"/>
          <w:sz w:val="32"/>
          <w:szCs w:val="32"/>
          <w:highlight w:val="none"/>
        </w:rPr>
      </w:pPr>
      <w:r>
        <w:rPr>
          <w:rFonts w:hint="eastAsia" w:eastAsia="黑体"/>
          <w:sz w:val="32"/>
          <w:szCs w:val="32"/>
          <w:highlight w:val="none"/>
        </w:rPr>
        <w:t>附件</w:t>
      </w:r>
      <w:r>
        <w:rPr>
          <w:rFonts w:eastAsia="黑体"/>
          <w:sz w:val="32"/>
          <w:szCs w:val="32"/>
          <w:highlight w:val="none"/>
        </w:rPr>
        <w:t>2</w:t>
      </w:r>
    </w:p>
    <w:p>
      <w:pPr>
        <w:spacing w:after="156" w:afterLines="50" w:line="600" w:lineRule="exact"/>
        <w:jc w:val="center"/>
        <w:rPr>
          <w:rFonts w:eastAsia="仿宋_GB2312"/>
          <w:kern w:val="0"/>
          <w:sz w:val="24"/>
          <w:highlight w:val="none"/>
        </w:rPr>
      </w:pPr>
      <w:r>
        <w:rPr>
          <w:rFonts w:eastAsia="方正小标宋_GBK"/>
          <w:kern w:val="0"/>
          <w:sz w:val="36"/>
          <w:szCs w:val="36"/>
          <w:highlight w:val="none"/>
        </w:rPr>
        <w:t>2020</w:t>
      </w:r>
      <w:r>
        <w:rPr>
          <w:rFonts w:hint="eastAsia" w:eastAsia="方正小标宋_GBK"/>
          <w:kern w:val="0"/>
          <w:sz w:val="36"/>
          <w:szCs w:val="36"/>
          <w:highlight w:val="none"/>
        </w:rPr>
        <w:t>年度单位整体支出绩效评价基础数据表</w:t>
      </w:r>
    </w:p>
    <w:tbl>
      <w:tblPr>
        <w:tblStyle w:val="6"/>
        <w:tblW w:w="0" w:type="auto"/>
        <w:jc w:val="center"/>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highlight w:val="none"/>
              </w:rPr>
            </w:pPr>
            <w:r>
              <w:rPr>
                <w:rFonts w:hint="eastAsia" w:eastAsia="仿宋_GB2312"/>
                <w:b/>
                <w:bCs/>
                <w:kern w:val="0"/>
                <w:szCs w:val="21"/>
                <w:highlight w:val="none"/>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highlight w:val="none"/>
              </w:rPr>
            </w:pPr>
            <w:r>
              <w:rPr>
                <w:rFonts w:eastAsia="仿宋_GB2312"/>
                <w:b/>
                <w:bCs/>
                <w:kern w:val="0"/>
                <w:szCs w:val="21"/>
                <w:highlight w:val="none"/>
              </w:rPr>
              <w:t>2020</w:t>
            </w:r>
            <w:r>
              <w:rPr>
                <w:rFonts w:hint="eastAsia" w:eastAsia="仿宋_GB2312"/>
                <w:b/>
                <w:bCs/>
                <w:kern w:val="0"/>
                <w:szCs w:val="21"/>
                <w:highlight w:val="none"/>
              </w:rPr>
              <w:t>年实际在职人数</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highlight w:val="none"/>
              </w:rPr>
            </w:pPr>
            <w:r>
              <w:rPr>
                <w:rFonts w:hint="eastAsia" w:eastAsia="仿宋_GB2312"/>
                <w:b/>
                <w:bCs/>
                <w:kern w:val="0"/>
                <w:szCs w:val="21"/>
                <w:highlight w:val="none"/>
              </w:rPr>
              <w:t>控制率</w:t>
            </w:r>
          </w:p>
        </w:tc>
      </w:tr>
      <w:tr>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133　</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101　</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75.94%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highlight w:val="none"/>
              </w:rPr>
            </w:pPr>
            <w:r>
              <w:rPr>
                <w:rFonts w:eastAsia="仿宋_GB2312"/>
                <w:b/>
                <w:bCs/>
                <w:kern w:val="0"/>
                <w:szCs w:val="21"/>
                <w:highlight w:val="none"/>
              </w:rPr>
              <w:t>2019</w:t>
            </w:r>
            <w:r>
              <w:rPr>
                <w:rFonts w:hint="eastAsia" w:eastAsia="仿宋_GB2312"/>
                <w:b/>
                <w:bCs/>
                <w:kern w:val="0"/>
                <w:szCs w:val="21"/>
                <w:highlight w:val="none"/>
              </w:rPr>
              <w:t>年决算数</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highlight w:val="none"/>
              </w:rPr>
            </w:pPr>
            <w:r>
              <w:rPr>
                <w:rFonts w:eastAsia="仿宋_GB2312"/>
                <w:b/>
                <w:bCs/>
                <w:kern w:val="0"/>
                <w:szCs w:val="21"/>
                <w:highlight w:val="none"/>
              </w:rPr>
              <w:t>2020</w:t>
            </w:r>
            <w:r>
              <w:rPr>
                <w:rFonts w:hint="eastAsia" w:eastAsia="仿宋_GB2312"/>
                <w:b/>
                <w:bCs/>
                <w:kern w:val="0"/>
                <w:szCs w:val="21"/>
                <w:highlight w:val="none"/>
              </w:rPr>
              <w:t>年预算数</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highlight w:val="none"/>
              </w:rPr>
            </w:pPr>
            <w:r>
              <w:rPr>
                <w:rFonts w:eastAsia="仿宋_GB2312"/>
                <w:b/>
                <w:bCs/>
                <w:kern w:val="0"/>
                <w:szCs w:val="21"/>
                <w:highlight w:val="none"/>
              </w:rPr>
              <w:t>2020</w:t>
            </w:r>
            <w:r>
              <w:rPr>
                <w:rFonts w:hint="eastAsia" w:eastAsia="仿宋_GB2312"/>
                <w:b/>
                <w:bCs/>
                <w:kern w:val="0"/>
                <w:szCs w:val="21"/>
                <w:highlight w:val="none"/>
              </w:rPr>
              <w:t>年决算数</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hint="eastAsia" w:eastAsia="仿宋_GB2312"/>
                <w:kern w:val="0"/>
                <w:szCs w:val="21"/>
                <w:highlight w:val="none"/>
              </w:rPr>
              <w:t>三公经费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7.5</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7.5</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7.5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eastAsia="仿宋_GB2312"/>
                <w:kern w:val="0"/>
                <w:szCs w:val="21"/>
                <w:highlight w:val="none"/>
              </w:rPr>
              <w:t xml:space="preserve">   1</w:t>
            </w:r>
            <w:r>
              <w:rPr>
                <w:rFonts w:hint="eastAsia" w:eastAsia="仿宋_GB2312"/>
                <w:kern w:val="0"/>
                <w:szCs w:val="21"/>
                <w:highlight w:val="none"/>
              </w:rPr>
              <w:t>、公务用车购置和维护经费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3.5</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3.5</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3.5</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eastAsia="仿宋_GB2312"/>
                <w:kern w:val="0"/>
                <w:szCs w:val="21"/>
                <w:highlight w:val="none"/>
              </w:rPr>
              <w:t xml:space="preserve">       </w:t>
            </w:r>
            <w:r>
              <w:rPr>
                <w:rFonts w:hint="eastAsia" w:eastAsia="仿宋_GB2312"/>
                <w:kern w:val="0"/>
                <w:szCs w:val="21"/>
                <w:highlight w:val="none"/>
              </w:rPr>
              <w:t>其中：公车购置</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eastAsia="仿宋_GB2312"/>
                <w:kern w:val="0"/>
                <w:szCs w:val="21"/>
                <w:highlight w:val="none"/>
              </w:rPr>
              <w:t xml:space="preserve">             </w:t>
            </w:r>
            <w:r>
              <w:rPr>
                <w:rFonts w:hint="eastAsia" w:eastAsia="仿宋_GB2312"/>
                <w:kern w:val="0"/>
                <w:szCs w:val="21"/>
                <w:highlight w:val="none"/>
              </w:rPr>
              <w:t>公车运行维护</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3.5</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3.5</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3.5</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eastAsia="仿宋_GB2312"/>
                <w:kern w:val="0"/>
                <w:szCs w:val="21"/>
                <w:highlight w:val="none"/>
              </w:rPr>
              <w:t xml:space="preserve">   2</w:t>
            </w:r>
            <w:r>
              <w:rPr>
                <w:rFonts w:hint="eastAsia" w:eastAsia="仿宋_GB2312"/>
                <w:kern w:val="0"/>
                <w:szCs w:val="21"/>
                <w:highlight w:val="none"/>
              </w:rPr>
              <w:t>、出国经费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eastAsia="仿宋_GB2312"/>
                <w:kern w:val="0"/>
                <w:szCs w:val="21"/>
                <w:highlight w:val="none"/>
              </w:rPr>
              <w:t xml:space="preserve">   3</w:t>
            </w:r>
            <w:r>
              <w:rPr>
                <w:rFonts w:hint="eastAsia" w:eastAsia="仿宋_GB2312"/>
                <w:kern w:val="0"/>
                <w:szCs w:val="21"/>
                <w:highlight w:val="none"/>
              </w:rPr>
              <w:t>、公务接待</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4</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4</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4</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hint="eastAsia" w:eastAsia="仿宋_GB2312"/>
                <w:kern w:val="0"/>
                <w:szCs w:val="21"/>
                <w:highlight w:val="none"/>
              </w:rPr>
              <w:t>项目支出：</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eastAsia="仿宋_GB2312"/>
                <w:kern w:val="0"/>
                <w:szCs w:val="21"/>
                <w:highlight w:val="none"/>
              </w:rPr>
              <w:t xml:space="preserve">    1</w:t>
            </w:r>
            <w:r>
              <w:rPr>
                <w:rFonts w:hint="eastAsia" w:eastAsia="仿宋_GB2312"/>
                <w:kern w:val="0"/>
                <w:szCs w:val="21"/>
                <w:highlight w:val="none"/>
              </w:rPr>
              <w:t>、业务工作经费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eastAsia="仿宋_GB2312"/>
                <w:kern w:val="0"/>
                <w:szCs w:val="21"/>
                <w:highlight w:val="none"/>
              </w:rPr>
              <w:t xml:space="preserve">    2</w:t>
            </w:r>
            <w:r>
              <w:rPr>
                <w:rFonts w:hint="eastAsia" w:eastAsia="仿宋_GB2312"/>
                <w:kern w:val="0"/>
                <w:szCs w:val="21"/>
                <w:highlight w:val="none"/>
              </w:rPr>
              <w:t>、运行维护经费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highlight w:val="none"/>
              </w:rPr>
            </w:pPr>
            <w:r>
              <w:rPr>
                <w:rFonts w:eastAsia="仿宋_GB2312"/>
                <w:kern w:val="0"/>
                <w:szCs w:val="21"/>
                <w:highlight w:val="none"/>
              </w:rPr>
              <w:t>……</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eastAsia="仿宋_GB2312"/>
                <w:kern w:val="0"/>
                <w:szCs w:val="21"/>
                <w:highlight w:val="none"/>
              </w:rPr>
              <w:t>3</w:t>
            </w:r>
            <w:r>
              <w:rPr>
                <w:rFonts w:hint="eastAsia" w:eastAsia="仿宋_GB2312"/>
                <w:kern w:val="0"/>
                <w:szCs w:val="21"/>
                <w:highlight w:val="none"/>
              </w:rPr>
              <w:t>、省级专项资金（一个专项一行）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highlight w:val="none"/>
              </w:rPr>
            </w:pPr>
            <w:r>
              <w:rPr>
                <w:rFonts w:eastAsia="仿宋_GB2312"/>
                <w:kern w:val="0"/>
                <w:szCs w:val="21"/>
                <w:highlight w:val="none"/>
              </w:rPr>
              <w:t>……</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hint="eastAsia" w:eastAsia="仿宋_GB2312"/>
                <w:kern w:val="0"/>
                <w:szCs w:val="21"/>
                <w:highlight w:val="none"/>
              </w:rPr>
              <w:t>公用经费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eastAsia="仿宋_GB2312"/>
                <w:kern w:val="0"/>
                <w:szCs w:val="21"/>
                <w:highlight w:val="none"/>
              </w:rPr>
              <w:t xml:space="preserve">    </w:t>
            </w:r>
            <w:r>
              <w:rPr>
                <w:rFonts w:hint="eastAsia" w:eastAsia="仿宋_GB2312"/>
                <w:kern w:val="0"/>
                <w:szCs w:val="21"/>
                <w:highlight w:val="none"/>
              </w:rPr>
              <w:t>其中：办公经费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3.73</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3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4.4</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eastAsia="仿宋_GB2312"/>
                <w:kern w:val="0"/>
                <w:szCs w:val="21"/>
                <w:highlight w:val="none"/>
              </w:rPr>
              <w:t xml:space="preserve">          </w:t>
            </w:r>
            <w:r>
              <w:rPr>
                <w:rFonts w:hint="eastAsia" w:eastAsia="仿宋_GB2312"/>
                <w:kern w:val="0"/>
                <w:szCs w:val="21"/>
                <w:highlight w:val="none"/>
              </w:rPr>
              <w:t>水费、电费、差旅费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4</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4</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4</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eastAsia="仿宋_GB2312"/>
                <w:kern w:val="0"/>
                <w:szCs w:val="21"/>
                <w:highlight w:val="none"/>
              </w:rPr>
              <w:t xml:space="preserve">          </w:t>
            </w:r>
            <w:r>
              <w:rPr>
                <w:rFonts w:hint="eastAsia" w:eastAsia="仿宋_GB2312"/>
                <w:kern w:val="0"/>
                <w:szCs w:val="21"/>
                <w:highlight w:val="none"/>
              </w:rPr>
              <w:t>会议费、培训费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2.52</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2.5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2.5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hint="eastAsia" w:eastAsia="仿宋_GB2312"/>
                <w:kern w:val="0"/>
                <w:szCs w:val="21"/>
                <w:highlight w:val="none"/>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eastAsia="仿宋_GB2312"/>
                <w:kern w:val="0"/>
                <w:szCs w:val="21"/>
                <w:highlight w:val="none"/>
              </w:rPr>
              <w:t>——</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r>
              <w:rPr>
                <w:rFonts w:hint="eastAsia" w:eastAsia="仿宋_GB2312"/>
                <w:kern w:val="0"/>
                <w:szCs w:val="21"/>
                <w:highlight w:val="none"/>
              </w:rPr>
              <w:t>部门基本支出预算调整</w:t>
            </w:r>
            <w:r>
              <w:rPr>
                <w:rFonts w:eastAsia="仿宋_GB2312"/>
                <w:kern w:val="0"/>
                <w:szCs w:val="21"/>
                <w:highlight w:val="none"/>
              </w:rPr>
              <w:t xml:space="preserve"> </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eastAsia="仿宋_GB2312"/>
                <w:kern w:val="0"/>
                <w:szCs w:val="21"/>
                <w:highlight w:val="none"/>
              </w:rPr>
              <w:t>——</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w:t>
            </w:r>
          </w:p>
        </w:tc>
      </w:tr>
      <w:tr>
        <w:tblPrEx>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楼堂馆所控制情况</w:t>
            </w:r>
            <w:r>
              <w:rPr>
                <w:rFonts w:eastAsia="仿宋_GB2312"/>
                <w:kern w:val="0"/>
                <w:szCs w:val="21"/>
                <w:highlight w:val="none"/>
              </w:rPr>
              <w:br w:type="textWrapping"/>
            </w:r>
            <w:r>
              <w:rPr>
                <w:rFonts w:hint="eastAsia" w:eastAsia="仿宋_GB2312"/>
                <w:kern w:val="0"/>
                <w:szCs w:val="21"/>
                <w:highlight w:val="none"/>
              </w:rPr>
              <w:t>（</w:t>
            </w:r>
            <w:r>
              <w:rPr>
                <w:rFonts w:eastAsia="仿宋_GB2312"/>
                <w:kern w:val="0"/>
                <w:szCs w:val="21"/>
                <w:highlight w:val="none"/>
              </w:rPr>
              <w:t>2020</w:t>
            </w:r>
            <w:r>
              <w:rPr>
                <w:rFonts w:hint="eastAsia" w:eastAsia="仿宋_GB2312"/>
                <w:kern w:val="0"/>
                <w:szCs w:val="21"/>
                <w:highlight w:val="none"/>
              </w:rPr>
              <w:t>年完工项目）</w:t>
            </w:r>
          </w:p>
        </w:tc>
        <w:tc>
          <w:tcPr>
            <w:tcW w:w="118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highlight w:val="none"/>
              </w:rPr>
            </w:pPr>
            <w:r>
              <w:rPr>
                <w:rFonts w:hint="eastAsia" w:eastAsia="仿宋_GB2312"/>
                <w:bCs/>
                <w:kern w:val="0"/>
                <w:szCs w:val="21"/>
                <w:highlight w:val="none"/>
              </w:rPr>
              <w:t>批复规模</w:t>
            </w:r>
            <w:r>
              <w:rPr>
                <w:rFonts w:eastAsia="仿宋_GB2312"/>
                <w:bCs/>
                <w:kern w:val="0"/>
                <w:szCs w:val="21"/>
                <w:highlight w:val="none"/>
              </w:rPr>
              <w:br w:type="textWrapping"/>
            </w:r>
            <w:r>
              <w:rPr>
                <w:rFonts w:hint="eastAsia" w:eastAsia="仿宋_GB2312"/>
                <w:bCs/>
                <w:kern w:val="0"/>
                <w:szCs w:val="21"/>
                <w:highlight w:val="none"/>
              </w:rPr>
              <w:t>（</w:t>
            </w:r>
            <w:r>
              <w:rPr>
                <w:rFonts w:hint="eastAsia"/>
                <w:bCs/>
                <w:kern w:val="0"/>
                <w:szCs w:val="21"/>
                <w:highlight w:val="none"/>
              </w:rPr>
              <w:t>㎡</w:t>
            </w:r>
            <w:r>
              <w:rPr>
                <w:rFonts w:hint="eastAsia" w:eastAsia="仿宋_GB2312"/>
                <w:bCs/>
                <w:kern w:val="0"/>
                <w:szCs w:val="21"/>
                <w:highlight w:val="none"/>
              </w:rPr>
              <w:t>）</w:t>
            </w:r>
          </w:p>
        </w:tc>
        <w:tc>
          <w:tcPr>
            <w:tcW w:w="84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highlight w:val="none"/>
              </w:rPr>
            </w:pPr>
            <w:r>
              <w:rPr>
                <w:rFonts w:hint="eastAsia" w:eastAsia="仿宋_GB2312"/>
                <w:bCs/>
                <w:kern w:val="0"/>
                <w:szCs w:val="21"/>
                <w:highlight w:val="none"/>
              </w:rPr>
              <w:t>实际规模（</w:t>
            </w:r>
            <w:r>
              <w:rPr>
                <w:rFonts w:hint="eastAsia"/>
                <w:bCs/>
                <w:kern w:val="0"/>
                <w:szCs w:val="21"/>
                <w:highlight w:val="none"/>
              </w:rPr>
              <w:t>㎡</w:t>
            </w:r>
            <w:r>
              <w:rPr>
                <w:rFonts w:hint="eastAsia" w:eastAsia="仿宋_GB2312"/>
                <w:bCs/>
                <w:kern w:val="0"/>
                <w:szCs w:val="21"/>
                <w:highlight w:val="none"/>
              </w:rPr>
              <w:t>）</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highlight w:val="none"/>
              </w:rPr>
            </w:pPr>
            <w:r>
              <w:rPr>
                <w:rFonts w:hint="eastAsia" w:eastAsia="仿宋_GB2312"/>
                <w:bCs/>
                <w:kern w:val="0"/>
                <w:szCs w:val="21"/>
                <w:highlight w:val="none"/>
              </w:rPr>
              <w:t>规模控制率</w:t>
            </w:r>
          </w:p>
        </w:tc>
        <w:tc>
          <w:tcPr>
            <w:tcW w:w="1111"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highlight w:val="none"/>
              </w:rPr>
            </w:pPr>
            <w:r>
              <w:rPr>
                <w:rFonts w:hint="eastAsia" w:eastAsia="仿宋_GB2312"/>
                <w:bCs/>
                <w:kern w:val="0"/>
                <w:szCs w:val="21"/>
                <w:highlight w:val="none"/>
              </w:rPr>
              <w:t>预算投资（万元）</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highlight w:val="none"/>
              </w:rPr>
            </w:pPr>
            <w:r>
              <w:rPr>
                <w:rFonts w:hint="eastAsia" w:eastAsia="仿宋_GB2312"/>
                <w:bCs/>
                <w:kern w:val="0"/>
                <w:szCs w:val="21"/>
                <w:highlight w:val="none"/>
              </w:rPr>
              <w:t>实际投资（万元）</w:t>
            </w:r>
          </w:p>
        </w:tc>
        <w:tc>
          <w:tcPr>
            <w:tcW w:w="863"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highlight w:val="none"/>
              </w:rPr>
            </w:pPr>
            <w:r>
              <w:rPr>
                <w:rFonts w:hint="eastAsia" w:eastAsia="仿宋_GB2312"/>
                <w:bCs/>
                <w:kern w:val="0"/>
                <w:szCs w:val="21"/>
                <w:highlight w:val="none"/>
              </w:rPr>
              <w:t>投资概算控制率</w:t>
            </w:r>
          </w:p>
        </w:tc>
      </w:tr>
      <w:tr>
        <w:tblPrEx>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highlight w:val="none"/>
              </w:rPr>
            </w:pPr>
          </w:p>
        </w:tc>
        <w:tc>
          <w:tcPr>
            <w:tcW w:w="1189" w:type="dxa"/>
            <w:tcBorders>
              <w:top w:val="nil"/>
              <w:left w:val="nil"/>
              <w:bottom w:val="single" w:color="auto" w:sz="4" w:space="0"/>
              <w:right w:val="single" w:color="auto"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0</w:t>
            </w:r>
          </w:p>
        </w:tc>
        <w:tc>
          <w:tcPr>
            <w:tcW w:w="849" w:type="dxa"/>
            <w:tcBorders>
              <w:top w:val="nil"/>
              <w:left w:val="nil"/>
              <w:bottom w:val="single" w:color="auto" w:sz="4" w:space="0"/>
              <w:right w:val="single" w:color="auto" w:sz="4" w:space="0"/>
            </w:tcBorders>
            <w:vAlign w:val="center"/>
          </w:tcPr>
          <w:p>
            <w:pPr>
              <w:widowControl/>
              <w:jc w:val="left"/>
              <w:rPr>
                <w:rFonts w:eastAsia="仿宋_GB2312"/>
                <w:kern w:val="0"/>
                <w:szCs w:val="21"/>
                <w:highlight w:val="none"/>
              </w:rPr>
            </w:pPr>
            <w:r>
              <w:rPr>
                <w:rFonts w:hint="eastAsia" w:eastAsia="仿宋_GB2312"/>
                <w:kern w:val="0"/>
                <w:szCs w:val="21"/>
                <w:highlight w:val="none"/>
              </w:rPr>
              <w:t>　0</w:t>
            </w:r>
          </w:p>
        </w:tc>
        <w:tc>
          <w:tcPr>
            <w:tcW w:w="1129" w:type="dxa"/>
            <w:tcBorders>
              <w:top w:val="nil"/>
              <w:left w:val="nil"/>
              <w:bottom w:val="single" w:color="auto" w:sz="4" w:space="0"/>
              <w:right w:val="single" w:color="auto" w:sz="4" w:space="0"/>
            </w:tcBorders>
            <w:vAlign w:val="center"/>
          </w:tcPr>
          <w:p>
            <w:pPr>
              <w:widowControl/>
              <w:jc w:val="left"/>
              <w:rPr>
                <w:rFonts w:eastAsia="仿宋_GB2312"/>
                <w:kern w:val="0"/>
                <w:szCs w:val="21"/>
                <w:highlight w:val="none"/>
              </w:rPr>
            </w:pPr>
            <w:r>
              <w:rPr>
                <w:rFonts w:hint="eastAsia" w:eastAsia="仿宋_GB2312"/>
                <w:kern w:val="0"/>
                <w:szCs w:val="21"/>
                <w:highlight w:val="none"/>
              </w:rPr>
              <w:t>　0</w:t>
            </w:r>
          </w:p>
        </w:tc>
        <w:tc>
          <w:tcPr>
            <w:tcW w:w="1111" w:type="dxa"/>
            <w:tcBorders>
              <w:top w:val="nil"/>
              <w:left w:val="nil"/>
              <w:bottom w:val="single" w:color="auto" w:sz="4" w:space="0"/>
              <w:right w:val="single" w:color="auto" w:sz="4" w:space="0"/>
            </w:tcBorders>
            <w:vAlign w:val="center"/>
          </w:tcPr>
          <w:p>
            <w:pPr>
              <w:widowControl/>
              <w:jc w:val="left"/>
              <w:rPr>
                <w:rFonts w:eastAsia="仿宋_GB2312"/>
                <w:kern w:val="0"/>
                <w:szCs w:val="21"/>
                <w:highlight w:val="none"/>
              </w:rPr>
            </w:pPr>
            <w:r>
              <w:rPr>
                <w:rFonts w:hint="eastAsia" w:eastAsia="仿宋_GB2312"/>
                <w:kern w:val="0"/>
                <w:szCs w:val="21"/>
                <w:highlight w:val="none"/>
              </w:rPr>
              <w:t>　0</w:t>
            </w:r>
          </w:p>
        </w:tc>
        <w:tc>
          <w:tcPr>
            <w:tcW w:w="969" w:type="dxa"/>
            <w:tcBorders>
              <w:top w:val="nil"/>
              <w:left w:val="nil"/>
              <w:bottom w:val="single" w:color="auto" w:sz="4" w:space="0"/>
              <w:right w:val="single" w:color="auto" w:sz="4" w:space="0"/>
            </w:tcBorders>
            <w:vAlign w:val="center"/>
          </w:tcPr>
          <w:p>
            <w:pPr>
              <w:widowControl/>
              <w:jc w:val="left"/>
              <w:rPr>
                <w:rFonts w:eastAsia="仿宋_GB2312"/>
                <w:kern w:val="0"/>
                <w:szCs w:val="21"/>
                <w:highlight w:val="none"/>
              </w:rPr>
            </w:pPr>
            <w:r>
              <w:rPr>
                <w:rFonts w:hint="eastAsia" w:eastAsia="仿宋_GB2312"/>
                <w:kern w:val="0"/>
                <w:szCs w:val="21"/>
                <w:highlight w:val="none"/>
              </w:rPr>
              <w:t>　0</w:t>
            </w:r>
          </w:p>
        </w:tc>
        <w:tc>
          <w:tcPr>
            <w:tcW w:w="863" w:type="dxa"/>
            <w:tcBorders>
              <w:top w:val="nil"/>
              <w:left w:val="nil"/>
              <w:bottom w:val="single" w:color="auto" w:sz="4" w:space="0"/>
              <w:right w:val="single" w:color="auto" w:sz="4" w:space="0"/>
            </w:tcBorders>
            <w:vAlign w:val="center"/>
          </w:tcPr>
          <w:p>
            <w:pPr>
              <w:widowControl/>
              <w:jc w:val="left"/>
              <w:rPr>
                <w:rFonts w:eastAsia="仿宋_GB2312"/>
                <w:kern w:val="0"/>
                <w:szCs w:val="21"/>
                <w:highlight w:val="none"/>
              </w:rPr>
            </w:pPr>
            <w:r>
              <w:rPr>
                <w:rFonts w:hint="eastAsia" w:eastAsia="仿宋_GB2312"/>
                <w:kern w:val="0"/>
                <w:szCs w:val="21"/>
                <w:highlight w:val="none"/>
              </w:rPr>
              <w:t>　0</w:t>
            </w:r>
          </w:p>
        </w:tc>
      </w:tr>
      <w:tr>
        <w:tblPrEx>
          <w:tblCellMar>
            <w:top w:w="0" w:type="dxa"/>
            <w:left w:w="108" w:type="dxa"/>
            <w:bottom w:w="0" w:type="dxa"/>
            <w:right w:w="108" w:type="dxa"/>
          </w:tblCellMar>
        </w:tblPrEx>
        <w:trPr>
          <w:trHeight w:val="756"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厉行节约保障措施</w:t>
            </w:r>
          </w:p>
        </w:tc>
        <w:tc>
          <w:tcPr>
            <w:tcW w:w="6110" w:type="dxa"/>
            <w:gridSpan w:val="6"/>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highlight w:val="none"/>
              </w:rPr>
            </w:pPr>
            <w:r>
              <w:rPr>
                <w:rFonts w:hint="eastAsia" w:eastAsia="仿宋_GB2312"/>
                <w:kern w:val="0"/>
                <w:szCs w:val="21"/>
                <w:highlight w:val="none"/>
              </w:rPr>
              <w:t>　</w:t>
            </w:r>
          </w:p>
        </w:tc>
      </w:tr>
    </w:tbl>
    <w:p>
      <w:pPr>
        <w:widowControl/>
        <w:jc w:val="left"/>
        <w:rPr>
          <w:rFonts w:eastAsia="仿宋_GB2312"/>
          <w:kern w:val="0"/>
          <w:sz w:val="22"/>
          <w:highlight w:val="none"/>
        </w:rPr>
      </w:pPr>
      <w:r>
        <w:rPr>
          <w:rFonts w:hint="eastAsia" w:eastAsia="仿宋_GB2312"/>
          <w:kern w:val="0"/>
          <w:sz w:val="22"/>
          <w:highlight w:val="none"/>
        </w:rPr>
        <w:t>说明：</w:t>
      </w:r>
      <w:r>
        <w:rPr>
          <w:rFonts w:eastAsia="仿宋_GB2312"/>
          <w:kern w:val="0"/>
          <w:sz w:val="22"/>
          <w:highlight w:val="none"/>
        </w:rPr>
        <w:t>“</w:t>
      </w:r>
      <w:r>
        <w:rPr>
          <w:rFonts w:hint="eastAsia" w:eastAsia="仿宋_GB2312"/>
          <w:kern w:val="0"/>
          <w:sz w:val="22"/>
          <w:highlight w:val="none"/>
        </w:rPr>
        <w:t>项目支出</w:t>
      </w:r>
      <w:r>
        <w:rPr>
          <w:rFonts w:eastAsia="仿宋_GB2312"/>
          <w:kern w:val="0"/>
          <w:sz w:val="22"/>
          <w:highlight w:val="none"/>
        </w:rPr>
        <w:t>”</w:t>
      </w:r>
      <w:r>
        <w:rPr>
          <w:rFonts w:hint="eastAsia" w:eastAsia="仿宋_GB2312"/>
          <w:kern w:val="0"/>
          <w:sz w:val="22"/>
          <w:highlight w:val="none"/>
        </w:rPr>
        <w:t>需要填报基本支出以外的所有项目支出情况，</w:t>
      </w:r>
      <w:r>
        <w:rPr>
          <w:rFonts w:eastAsia="仿宋_GB2312"/>
          <w:kern w:val="0"/>
          <w:sz w:val="22"/>
          <w:highlight w:val="none"/>
        </w:rPr>
        <w:t>“</w:t>
      </w:r>
      <w:r>
        <w:rPr>
          <w:rFonts w:hint="eastAsia" w:eastAsia="仿宋_GB2312"/>
          <w:kern w:val="0"/>
          <w:sz w:val="22"/>
          <w:highlight w:val="none"/>
        </w:rPr>
        <w:t>公用经费</w:t>
      </w:r>
      <w:r>
        <w:rPr>
          <w:rFonts w:eastAsia="仿宋_GB2312"/>
          <w:kern w:val="0"/>
          <w:sz w:val="22"/>
          <w:highlight w:val="none"/>
        </w:rPr>
        <w:t>”</w:t>
      </w:r>
      <w:r>
        <w:rPr>
          <w:rFonts w:hint="eastAsia" w:eastAsia="仿宋_GB2312"/>
          <w:kern w:val="0"/>
          <w:sz w:val="22"/>
          <w:highlight w:val="none"/>
        </w:rPr>
        <w:t>填报基本支出中的一般商品和服务支出。</w:t>
      </w:r>
    </w:p>
    <w:p>
      <w:pPr>
        <w:widowControl/>
        <w:jc w:val="left"/>
        <w:rPr>
          <w:rFonts w:eastAsia="仿宋_GB2312"/>
          <w:kern w:val="0"/>
          <w:sz w:val="22"/>
          <w:highlight w:val="none"/>
        </w:rPr>
      </w:pPr>
    </w:p>
    <w:p>
      <w:pPr>
        <w:widowControl/>
        <w:spacing w:after="156" w:afterLines="50" w:line="400" w:lineRule="exact"/>
        <w:jc w:val="left"/>
        <w:rPr>
          <w:rFonts w:eastAsia="黑体"/>
          <w:sz w:val="32"/>
          <w:szCs w:val="32"/>
          <w:highlight w:val="none"/>
        </w:rPr>
      </w:pPr>
      <w:r>
        <w:rPr>
          <w:rFonts w:hint="eastAsia" w:eastAsia="仿宋_GB2312"/>
          <w:kern w:val="0"/>
          <w:sz w:val="22"/>
          <w:highlight w:val="none"/>
        </w:rPr>
        <w:t>填表人：</w:t>
      </w:r>
      <w:r>
        <w:rPr>
          <w:rFonts w:eastAsia="仿宋_GB2312"/>
          <w:kern w:val="0"/>
          <w:sz w:val="22"/>
          <w:highlight w:val="none"/>
        </w:rPr>
        <w:t xml:space="preserve">        </w:t>
      </w:r>
      <w:r>
        <w:rPr>
          <w:rFonts w:hint="eastAsia" w:eastAsia="仿宋_GB2312"/>
          <w:kern w:val="0"/>
          <w:sz w:val="22"/>
          <w:highlight w:val="none"/>
        </w:rPr>
        <w:t>填报日期：</w:t>
      </w:r>
      <w:r>
        <w:rPr>
          <w:rFonts w:eastAsia="仿宋_GB2312"/>
          <w:kern w:val="0"/>
          <w:sz w:val="22"/>
          <w:highlight w:val="none"/>
        </w:rPr>
        <w:t xml:space="preserve">          </w:t>
      </w:r>
      <w:r>
        <w:rPr>
          <w:rFonts w:hint="eastAsia" w:eastAsia="仿宋_GB2312"/>
          <w:kern w:val="0"/>
          <w:sz w:val="22"/>
          <w:highlight w:val="none"/>
        </w:rPr>
        <w:t>联系电话：</w:t>
      </w:r>
      <w:r>
        <w:rPr>
          <w:rFonts w:eastAsia="仿宋_GB2312"/>
          <w:kern w:val="0"/>
          <w:sz w:val="22"/>
          <w:highlight w:val="none"/>
        </w:rPr>
        <w:t xml:space="preserve">            </w:t>
      </w:r>
      <w:r>
        <w:rPr>
          <w:rFonts w:hint="eastAsia" w:eastAsia="仿宋_GB2312"/>
          <w:kern w:val="0"/>
          <w:sz w:val="22"/>
          <w:highlight w:val="none"/>
        </w:rPr>
        <w:t>单位负责人签字：</w:t>
      </w:r>
      <w:r>
        <w:rPr>
          <w:rFonts w:eastAsia="仿宋_GB2312"/>
          <w:kern w:val="0"/>
          <w:sz w:val="22"/>
          <w:highlight w:val="none"/>
        </w:rPr>
        <w:br w:type="page"/>
      </w:r>
      <w:r>
        <w:rPr>
          <w:rFonts w:hint="eastAsia" w:eastAsia="黑体"/>
          <w:sz w:val="32"/>
          <w:szCs w:val="32"/>
          <w:highlight w:val="none"/>
        </w:rPr>
        <w:t>附件</w:t>
      </w:r>
      <w:r>
        <w:rPr>
          <w:rFonts w:eastAsia="黑体"/>
          <w:sz w:val="32"/>
          <w:szCs w:val="32"/>
          <w:highlight w:val="none"/>
        </w:rPr>
        <w:t>3</w:t>
      </w:r>
    </w:p>
    <w:p>
      <w:pPr>
        <w:widowControl/>
        <w:spacing w:after="156" w:afterLines="50" w:line="400" w:lineRule="exact"/>
        <w:jc w:val="center"/>
        <w:rPr>
          <w:rFonts w:eastAsia="方正小标宋_GBK"/>
          <w:color w:val="000000"/>
          <w:kern w:val="0"/>
          <w:sz w:val="36"/>
          <w:szCs w:val="36"/>
          <w:highlight w:val="none"/>
        </w:rPr>
      </w:pPr>
      <w:r>
        <w:rPr>
          <w:rFonts w:eastAsia="方正小标宋_GBK"/>
          <w:color w:val="000000"/>
          <w:kern w:val="0"/>
          <w:sz w:val="36"/>
          <w:szCs w:val="36"/>
          <w:highlight w:val="none"/>
        </w:rPr>
        <w:t>2020</w:t>
      </w:r>
      <w:r>
        <w:rPr>
          <w:rFonts w:hint="eastAsia" w:eastAsia="方正小标宋_GBK"/>
          <w:color w:val="000000"/>
          <w:kern w:val="0"/>
          <w:sz w:val="36"/>
          <w:szCs w:val="36"/>
          <w:highlight w:val="none"/>
        </w:rPr>
        <w:t>年度单位整体支出绩效自评表</w:t>
      </w:r>
    </w:p>
    <w:tbl>
      <w:tblPr>
        <w:tblStyle w:val="6"/>
        <w:tblW w:w="0" w:type="auto"/>
        <w:jc w:val="center"/>
        <w:tblLayout w:type="fixed"/>
        <w:tblCellMar>
          <w:top w:w="0" w:type="dxa"/>
          <w:left w:w="108" w:type="dxa"/>
          <w:bottom w:w="0" w:type="dxa"/>
          <w:right w:w="108" w:type="dxa"/>
        </w:tblCellMar>
      </w:tblPr>
      <w:tblGrid>
        <w:gridCol w:w="1080"/>
        <w:gridCol w:w="1080"/>
        <w:gridCol w:w="953"/>
        <w:gridCol w:w="1256"/>
        <w:gridCol w:w="95"/>
        <w:gridCol w:w="1654"/>
        <w:gridCol w:w="822"/>
        <w:gridCol w:w="709"/>
        <w:gridCol w:w="992"/>
        <w:gridCol w:w="1352"/>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省级预算部门名称</w:t>
            </w:r>
          </w:p>
        </w:tc>
        <w:tc>
          <w:tcPr>
            <w:tcW w:w="8913"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湖南有色地质工程测试研究中心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年度预</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算申请</w:t>
            </w:r>
            <w:r>
              <w:rPr>
                <w:rFonts w:eastAsia="仿宋_GB2312"/>
                <w:color w:val="000000"/>
                <w:kern w:val="0"/>
                <w:szCs w:val="21"/>
                <w:highlight w:val="none"/>
              </w:rPr>
              <w:br w:type="textWrapping"/>
            </w:r>
            <w:r>
              <w:rPr>
                <w:rFonts w:hint="eastAsia" w:eastAsia="仿宋_GB2312"/>
                <w:color w:val="000000"/>
                <w:kern w:val="0"/>
                <w:szCs w:val="21"/>
                <w:highlight w:val="none"/>
              </w:rPr>
              <w:t>（万元）</w:t>
            </w:r>
          </w:p>
        </w:tc>
        <w:tc>
          <w:tcPr>
            <w:tcW w:w="2033" w:type="dxa"/>
            <w:gridSpan w:val="2"/>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p>
        </w:tc>
        <w:tc>
          <w:tcPr>
            <w:tcW w:w="1256" w:type="dxa"/>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szCs w:val="21"/>
                <w:highlight w:val="none"/>
              </w:rPr>
              <w:t>年初</w:t>
            </w:r>
          </w:p>
          <w:p>
            <w:pPr>
              <w:spacing w:line="240" w:lineRule="exact"/>
              <w:jc w:val="center"/>
              <w:rPr>
                <w:rFonts w:eastAsia="仿宋_GB2312"/>
                <w:szCs w:val="21"/>
                <w:highlight w:val="none"/>
              </w:rPr>
            </w:pPr>
            <w:r>
              <w:rPr>
                <w:rFonts w:hint="eastAsia" w:eastAsia="仿宋_GB2312"/>
                <w:szCs w:val="21"/>
                <w:highlight w:val="none"/>
              </w:rPr>
              <w:t>预算数</w:t>
            </w:r>
          </w:p>
        </w:tc>
        <w:tc>
          <w:tcPr>
            <w:tcW w:w="1749" w:type="dxa"/>
            <w:gridSpan w:val="2"/>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szCs w:val="21"/>
                <w:highlight w:val="none"/>
              </w:rPr>
              <w:t>全年预算数</w:t>
            </w:r>
          </w:p>
        </w:tc>
        <w:tc>
          <w:tcPr>
            <w:tcW w:w="822" w:type="dxa"/>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szCs w:val="21"/>
                <w:highlight w:val="none"/>
              </w:rPr>
              <w:t>全年执行数</w:t>
            </w:r>
          </w:p>
        </w:tc>
        <w:tc>
          <w:tcPr>
            <w:tcW w:w="709" w:type="dxa"/>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szCs w:val="21"/>
                <w:highlight w:val="none"/>
              </w:rPr>
              <w:t>分值</w:t>
            </w:r>
          </w:p>
        </w:tc>
        <w:tc>
          <w:tcPr>
            <w:tcW w:w="992" w:type="dxa"/>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szCs w:val="21"/>
                <w:highlight w:val="none"/>
              </w:rPr>
              <w:t>执行率</w:t>
            </w:r>
          </w:p>
        </w:tc>
        <w:tc>
          <w:tcPr>
            <w:tcW w:w="1352" w:type="dxa"/>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szCs w:val="21"/>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p>
        </w:tc>
        <w:tc>
          <w:tcPr>
            <w:tcW w:w="2033" w:type="dxa"/>
            <w:gridSpan w:val="2"/>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color w:val="000000"/>
                <w:kern w:val="0"/>
                <w:szCs w:val="21"/>
                <w:highlight w:val="none"/>
              </w:rPr>
              <w:t>年度资金总额</w:t>
            </w:r>
          </w:p>
        </w:tc>
        <w:tc>
          <w:tcPr>
            <w:tcW w:w="1256" w:type="dxa"/>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szCs w:val="21"/>
                <w:highlight w:val="none"/>
              </w:rPr>
              <w:t>984.13</w:t>
            </w:r>
          </w:p>
        </w:tc>
        <w:tc>
          <w:tcPr>
            <w:tcW w:w="1749" w:type="dxa"/>
            <w:gridSpan w:val="2"/>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szCs w:val="21"/>
                <w:highlight w:val="none"/>
              </w:rPr>
              <w:t>1174.23</w:t>
            </w:r>
          </w:p>
        </w:tc>
        <w:tc>
          <w:tcPr>
            <w:tcW w:w="822" w:type="dxa"/>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szCs w:val="21"/>
                <w:highlight w:val="none"/>
              </w:rPr>
              <w:t>1096.83</w:t>
            </w:r>
          </w:p>
        </w:tc>
        <w:tc>
          <w:tcPr>
            <w:tcW w:w="709" w:type="dxa"/>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eastAsia="仿宋_GB2312"/>
                <w:szCs w:val="21"/>
                <w:highlight w:val="none"/>
              </w:rPr>
              <w:t>10</w:t>
            </w:r>
          </w:p>
        </w:tc>
        <w:tc>
          <w:tcPr>
            <w:tcW w:w="992" w:type="dxa"/>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szCs w:val="21"/>
                <w:highlight w:val="none"/>
              </w:rPr>
              <w:t>93.41%</w:t>
            </w:r>
          </w:p>
        </w:tc>
        <w:tc>
          <w:tcPr>
            <w:tcW w:w="1352" w:type="dxa"/>
            <w:tcBorders>
              <w:top w:val="nil"/>
              <w:left w:val="nil"/>
              <w:bottom w:val="single" w:color="auto" w:sz="4" w:space="0"/>
              <w:right w:val="single" w:color="auto" w:sz="4" w:space="0"/>
            </w:tcBorders>
            <w:vAlign w:val="center"/>
          </w:tcPr>
          <w:p>
            <w:pPr>
              <w:spacing w:line="240" w:lineRule="exact"/>
              <w:jc w:val="center"/>
              <w:rPr>
                <w:rFonts w:eastAsia="仿宋_GB2312"/>
                <w:szCs w:val="21"/>
                <w:highlight w:val="none"/>
              </w:rPr>
            </w:pPr>
            <w:r>
              <w:rPr>
                <w:rFonts w:hint="eastAsia" w:eastAsia="仿宋_GB2312"/>
                <w:szCs w:val="21"/>
                <w:highlight w:val="none"/>
              </w:rPr>
              <w:t>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p>
        </w:tc>
        <w:tc>
          <w:tcPr>
            <w:tcW w:w="5038"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按收入性质分：</w:t>
            </w:r>
          </w:p>
        </w:tc>
        <w:tc>
          <w:tcPr>
            <w:tcW w:w="3875"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p>
        </w:tc>
        <w:tc>
          <w:tcPr>
            <w:tcW w:w="5038"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eastAsia="仿宋_GB2312"/>
                <w:color w:val="000000"/>
                <w:kern w:val="0"/>
                <w:szCs w:val="21"/>
                <w:highlight w:val="none"/>
              </w:rPr>
              <w:t xml:space="preserve">  </w:t>
            </w:r>
            <w:r>
              <w:rPr>
                <w:rFonts w:hint="eastAsia" w:eastAsia="仿宋_GB2312"/>
                <w:color w:val="000000"/>
                <w:kern w:val="0"/>
                <w:szCs w:val="21"/>
                <w:highlight w:val="none"/>
              </w:rPr>
              <w:t>其中：</w:t>
            </w:r>
            <w:r>
              <w:rPr>
                <w:rFonts w:eastAsia="仿宋_GB2312"/>
                <w:color w:val="000000"/>
                <w:kern w:val="0"/>
                <w:szCs w:val="21"/>
                <w:highlight w:val="none"/>
              </w:rPr>
              <w:t xml:space="preserve">  </w:t>
            </w:r>
            <w:r>
              <w:rPr>
                <w:rFonts w:hint="eastAsia" w:eastAsia="仿宋_GB2312"/>
                <w:color w:val="000000"/>
                <w:kern w:val="0"/>
                <w:szCs w:val="21"/>
                <w:highlight w:val="none"/>
              </w:rPr>
              <w:t>一般公共预算：1174.23</w:t>
            </w:r>
          </w:p>
        </w:tc>
        <w:tc>
          <w:tcPr>
            <w:tcW w:w="3875"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其中：基本支出：1174.23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p>
        </w:tc>
        <w:tc>
          <w:tcPr>
            <w:tcW w:w="5038"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政府性基金拨款：</w:t>
            </w:r>
          </w:p>
        </w:tc>
        <w:tc>
          <w:tcPr>
            <w:tcW w:w="3875"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项目支出：0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p>
        </w:tc>
        <w:tc>
          <w:tcPr>
            <w:tcW w:w="5038"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纳入专户管理的非税收入拨款：</w:t>
            </w:r>
          </w:p>
        </w:tc>
        <w:tc>
          <w:tcPr>
            <w:tcW w:w="3875"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rFonts w:eastAsia="仿宋_GB2312"/>
                <w:color w:val="000000"/>
                <w:kern w:val="0"/>
                <w:szCs w:val="21"/>
                <w:highlight w:val="none"/>
              </w:rPr>
            </w:pPr>
          </w:p>
        </w:tc>
        <w:tc>
          <w:tcPr>
            <w:tcW w:w="5038" w:type="dxa"/>
            <w:gridSpan w:val="5"/>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其他资金：49.09</w:t>
            </w:r>
          </w:p>
        </w:tc>
        <w:tc>
          <w:tcPr>
            <w:tcW w:w="3875"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年度总体目标</w:t>
            </w:r>
          </w:p>
        </w:tc>
        <w:tc>
          <w:tcPr>
            <w:tcW w:w="5038" w:type="dxa"/>
            <w:gridSpan w:val="5"/>
            <w:tcBorders>
              <w:top w:val="single" w:color="auto" w:sz="4" w:space="0"/>
              <w:left w:val="nil"/>
              <w:bottom w:val="single" w:color="auto" w:sz="4" w:space="0"/>
              <w:right w:val="single" w:color="000000"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预期目标</w:t>
            </w:r>
          </w:p>
        </w:tc>
        <w:tc>
          <w:tcPr>
            <w:tcW w:w="387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eastAsia="仿宋_GB2312"/>
                <w:color w:val="000000"/>
                <w:kern w:val="0"/>
                <w:szCs w:val="21"/>
                <w:highlight w:val="none"/>
              </w:rPr>
            </w:pPr>
          </w:p>
        </w:tc>
        <w:tc>
          <w:tcPr>
            <w:tcW w:w="5038" w:type="dxa"/>
            <w:gridSpan w:val="5"/>
            <w:tcBorders>
              <w:top w:val="single" w:color="auto" w:sz="4" w:space="0"/>
              <w:left w:val="nil"/>
              <w:bottom w:val="single" w:color="auto" w:sz="4" w:space="0"/>
              <w:right w:val="single" w:color="000000"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党建工作持续加强，改革工作稳妥推进，地质工作</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卓有成效，经济运行平稳过渡，队伍建设和谐稳定　　</w:t>
            </w:r>
          </w:p>
        </w:tc>
        <w:tc>
          <w:tcPr>
            <w:tcW w:w="3875"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按照年度总体目标，有序推进工作，已完成预期目标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绩</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效</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指</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标</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一级指标</w:t>
            </w:r>
          </w:p>
        </w:tc>
        <w:tc>
          <w:tcPr>
            <w:tcW w:w="953"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二级指标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三级指标</w:t>
            </w:r>
          </w:p>
        </w:tc>
        <w:tc>
          <w:tcPr>
            <w:tcW w:w="1654"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年度</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指标值</w:t>
            </w:r>
          </w:p>
        </w:tc>
        <w:tc>
          <w:tcPr>
            <w:tcW w:w="822" w:type="dxa"/>
            <w:tcBorders>
              <w:top w:val="nil"/>
              <w:left w:val="nil"/>
              <w:bottom w:val="single" w:color="auto" w:sz="4" w:space="0"/>
              <w:right w:val="single" w:color="auto" w:sz="4" w:space="0"/>
            </w:tcBorders>
            <w:vAlign w:val="center"/>
          </w:tcPr>
          <w:p>
            <w:pPr>
              <w:widowControl/>
              <w:spacing w:line="240" w:lineRule="exact"/>
              <w:rPr>
                <w:rFonts w:eastAsia="仿宋_GB2312"/>
                <w:color w:val="000000"/>
                <w:kern w:val="0"/>
                <w:szCs w:val="21"/>
                <w:highlight w:val="none"/>
              </w:rPr>
            </w:pPr>
            <w:r>
              <w:rPr>
                <w:rFonts w:hint="eastAsia" w:eastAsia="仿宋_GB2312"/>
                <w:color w:val="000000"/>
                <w:kern w:val="0"/>
                <w:szCs w:val="21"/>
                <w:highlight w:val="none"/>
              </w:rPr>
              <w:t>实际完成值</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分值</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得分</w:t>
            </w:r>
          </w:p>
        </w:tc>
        <w:tc>
          <w:tcPr>
            <w:tcW w:w="1352"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偏差原因</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分析及</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1080" w:type="dxa"/>
            <w:vMerge w:val="restart"/>
            <w:tcBorders>
              <w:top w:val="nil"/>
              <w:left w:val="nil"/>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产出指标</w:t>
            </w:r>
          </w:p>
          <w:p>
            <w:pPr>
              <w:widowControl/>
              <w:spacing w:line="240" w:lineRule="exact"/>
              <w:jc w:val="center"/>
              <w:rPr>
                <w:rFonts w:eastAsia="仿宋_GB2312"/>
                <w:color w:val="000000"/>
                <w:kern w:val="0"/>
                <w:szCs w:val="21"/>
                <w:highlight w:val="none"/>
              </w:rPr>
            </w:pPr>
          </w:p>
          <w:p>
            <w:pPr>
              <w:widowControl/>
              <w:spacing w:line="240" w:lineRule="exact"/>
              <w:jc w:val="center"/>
              <w:rPr>
                <w:rFonts w:eastAsia="仿宋_GB2312"/>
                <w:color w:val="000000"/>
                <w:kern w:val="0"/>
                <w:szCs w:val="21"/>
                <w:highlight w:val="none"/>
              </w:rPr>
            </w:pPr>
            <w:r>
              <w:rPr>
                <w:rFonts w:eastAsia="仿宋_GB2312"/>
                <w:color w:val="000000"/>
                <w:kern w:val="0"/>
                <w:szCs w:val="21"/>
                <w:highlight w:val="none"/>
              </w:rPr>
              <w:t>(50</w:t>
            </w:r>
            <w:r>
              <w:rPr>
                <w:rFonts w:hint="eastAsia" w:eastAsia="仿宋_GB2312"/>
                <w:color w:val="000000"/>
                <w:kern w:val="0"/>
                <w:szCs w:val="21"/>
                <w:highlight w:val="none"/>
              </w:rPr>
              <w:t>分</w:t>
            </w:r>
            <w:r>
              <w:rPr>
                <w:rFonts w:eastAsia="仿宋_GB2312"/>
                <w:color w:val="000000"/>
                <w:kern w:val="0"/>
                <w:szCs w:val="21"/>
                <w:highlight w:val="none"/>
              </w:rPr>
              <w:t>)</w:t>
            </w:r>
          </w:p>
        </w:tc>
        <w:tc>
          <w:tcPr>
            <w:tcW w:w="953" w:type="dxa"/>
            <w:vMerge w:val="restart"/>
            <w:tcBorders>
              <w:top w:val="nil"/>
              <w:left w:val="nil"/>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数量指标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收入完成率</w:t>
            </w:r>
          </w:p>
        </w:tc>
        <w:tc>
          <w:tcPr>
            <w:tcW w:w="1654"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（预算收入实际完成数/收入预算数）*100%</w:t>
            </w:r>
          </w:p>
        </w:tc>
        <w:tc>
          <w:tcPr>
            <w:tcW w:w="82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64.5%</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15</w:t>
            </w:r>
          </w:p>
        </w:tc>
        <w:tc>
          <w:tcPr>
            <w:tcW w:w="99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14</w:t>
            </w: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经营收入预算与决算差额大</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1080" w:type="dxa"/>
            <w:vMerge w:val="continue"/>
            <w:tcBorders>
              <w:left w:val="nil"/>
              <w:right w:val="single" w:color="auto" w:sz="4" w:space="0"/>
            </w:tcBorders>
            <w:vAlign w:val="center"/>
          </w:tcPr>
          <w:p>
            <w:pPr>
              <w:spacing w:line="240" w:lineRule="exact"/>
              <w:jc w:val="left"/>
              <w:rPr>
                <w:rFonts w:eastAsia="仿宋_GB2312"/>
                <w:color w:val="000000"/>
                <w:kern w:val="0"/>
                <w:szCs w:val="21"/>
                <w:highlight w:val="none"/>
              </w:rPr>
            </w:pPr>
          </w:p>
        </w:tc>
        <w:tc>
          <w:tcPr>
            <w:tcW w:w="953" w:type="dxa"/>
            <w:vMerge w:val="continue"/>
            <w:tcBorders>
              <w:left w:val="nil"/>
              <w:right w:val="single" w:color="auto" w:sz="4" w:space="0"/>
            </w:tcBorders>
            <w:vAlign w:val="center"/>
          </w:tcPr>
          <w:p>
            <w:pPr>
              <w:spacing w:line="240" w:lineRule="exact"/>
              <w:jc w:val="center"/>
              <w:rPr>
                <w:rFonts w:eastAsia="仿宋_GB2312"/>
                <w:color w:val="000000"/>
                <w:kern w:val="0"/>
                <w:szCs w:val="21"/>
                <w:highlight w:val="none"/>
              </w:rPr>
            </w:pP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支出完成率</w:t>
            </w:r>
          </w:p>
        </w:tc>
        <w:tc>
          <w:tcPr>
            <w:tcW w:w="1654"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（预算支出实际完成数/支出预算数）*100%</w:t>
            </w:r>
          </w:p>
        </w:tc>
        <w:tc>
          <w:tcPr>
            <w:tcW w:w="82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68.95%</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15</w:t>
            </w:r>
          </w:p>
        </w:tc>
        <w:tc>
          <w:tcPr>
            <w:tcW w:w="99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14</w:t>
            </w: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经营支出预算与决算差额大</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1080" w:type="dxa"/>
            <w:vMerge w:val="continue"/>
            <w:tcBorders>
              <w:left w:val="nil"/>
              <w:right w:val="single" w:color="auto" w:sz="4" w:space="0"/>
            </w:tcBorders>
            <w:vAlign w:val="center"/>
          </w:tcPr>
          <w:p>
            <w:pPr>
              <w:spacing w:line="240" w:lineRule="exact"/>
              <w:jc w:val="left"/>
              <w:rPr>
                <w:rFonts w:eastAsia="仿宋_GB2312"/>
                <w:color w:val="000000"/>
                <w:kern w:val="0"/>
                <w:szCs w:val="21"/>
                <w:highlight w:val="none"/>
              </w:rPr>
            </w:pPr>
          </w:p>
        </w:tc>
        <w:tc>
          <w:tcPr>
            <w:tcW w:w="953" w:type="dxa"/>
            <w:tcBorders>
              <w:top w:val="nil"/>
              <w:left w:val="nil"/>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质量指标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资金使用合规性</w:t>
            </w:r>
          </w:p>
        </w:tc>
        <w:tc>
          <w:tcPr>
            <w:tcW w:w="1654"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规范使用资金</w:t>
            </w:r>
          </w:p>
        </w:tc>
        <w:tc>
          <w:tcPr>
            <w:tcW w:w="82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100%</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10</w:t>
            </w:r>
          </w:p>
        </w:tc>
        <w:tc>
          <w:tcPr>
            <w:tcW w:w="99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10</w:t>
            </w: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1080" w:type="dxa"/>
            <w:vMerge w:val="continue"/>
            <w:tcBorders>
              <w:left w:val="nil"/>
              <w:right w:val="single" w:color="auto" w:sz="4" w:space="0"/>
            </w:tcBorders>
            <w:vAlign w:val="center"/>
          </w:tcPr>
          <w:p>
            <w:pPr>
              <w:spacing w:line="240" w:lineRule="exact"/>
              <w:jc w:val="left"/>
              <w:rPr>
                <w:rFonts w:eastAsia="仿宋_GB2312"/>
                <w:color w:val="000000"/>
                <w:kern w:val="0"/>
                <w:szCs w:val="21"/>
                <w:highlight w:val="none"/>
              </w:rPr>
            </w:pPr>
          </w:p>
        </w:tc>
        <w:tc>
          <w:tcPr>
            <w:tcW w:w="953" w:type="dxa"/>
            <w:tcBorders>
              <w:top w:val="nil"/>
              <w:left w:val="nil"/>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时效指标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预决算信息公开性</w:t>
            </w:r>
          </w:p>
        </w:tc>
        <w:tc>
          <w:tcPr>
            <w:tcW w:w="1654"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依法依规公开相关信息</w:t>
            </w:r>
          </w:p>
        </w:tc>
        <w:tc>
          <w:tcPr>
            <w:tcW w:w="82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100%</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5</w:t>
            </w:r>
          </w:p>
        </w:tc>
        <w:tc>
          <w:tcPr>
            <w:tcW w:w="99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5</w:t>
            </w: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1080" w:type="dxa"/>
            <w:vMerge w:val="continue"/>
            <w:tcBorders>
              <w:left w:val="nil"/>
              <w:right w:val="single" w:color="auto" w:sz="4" w:space="0"/>
            </w:tcBorders>
            <w:vAlign w:val="center"/>
          </w:tcPr>
          <w:p>
            <w:pPr>
              <w:spacing w:line="240" w:lineRule="exact"/>
              <w:jc w:val="left"/>
              <w:rPr>
                <w:rFonts w:eastAsia="仿宋_GB2312"/>
                <w:color w:val="000000"/>
                <w:kern w:val="0"/>
                <w:szCs w:val="21"/>
                <w:highlight w:val="none"/>
              </w:rPr>
            </w:pPr>
          </w:p>
        </w:tc>
        <w:tc>
          <w:tcPr>
            <w:tcW w:w="953" w:type="dxa"/>
            <w:tcBorders>
              <w:left w:val="nil"/>
              <w:right w:val="single" w:color="auto" w:sz="4" w:space="0"/>
            </w:tcBorders>
            <w:vAlign w:val="center"/>
          </w:tcPr>
          <w:p>
            <w:pPr>
              <w:spacing w:line="240" w:lineRule="exact"/>
              <w:jc w:val="left"/>
              <w:rPr>
                <w:rFonts w:eastAsia="仿宋_GB2312"/>
                <w:color w:val="000000"/>
                <w:kern w:val="0"/>
                <w:szCs w:val="21"/>
                <w:highlight w:val="none"/>
              </w:rPr>
            </w:pPr>
            <w:r>
              <w:rPr>
                <w:rFonts w:hint="eastAsia" w:eastAsia="仿宋_GB2312"/>
                <w:color w:val="000000"/>
                <w:kern w:val="0"/>
                <w:szCs w:val="21"/>
                <w:highlight w:val="none"/>
              </w:rPr>
              <w:t>成本指标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一般性支出压减</w:t>
            </w:r>
          </w:p>
        </w:tc>
        <w:tc>
          <w:tcPr>
            <w:tcW w:w="1654"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一般性支出压减</w:t>
            </w:r>
          </w:p>
        </w:tc>
        <w:tc>
          <w:tcPr>
            <w:tcW w:w="82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100%</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5</w:t>
            </w:r>
          </w:p>
        </w:tc>
        <w:tc>
          <w:tcPr>
            <w:tcW w:w="99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4</w:t>
            </w: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本年无压缩</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1080" w:type="dxa"/>
            <w:vMerge w:val="restart"/>
            <w:tcBorders>
              <w:top w:val="nil"/>
              <w:left w:val="nil"/>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效益指标</w:t>
            </w:r>
          </w:p>
          <w:p>
            <w:pPr>
              <w:widowControl/>
              <w:spacing w:line="240" w:lineRule="exact"/>
              <w:jc w:val="left"/>
              <w:rPr>
                <w:rFonts w:eastAsia="仿宋_GB2312"/>
                <w:color w:val="000000"/>
                <w:kern w:val="0"/>
                <w:szCs w:val="21"/>
                <w:highlight w:val="none"/>
              </w:rPr>
            </w:pPr>
          </w:p>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w:t>
            </w:r>
            <w:r>
              <w:rPr>
                <w:rFonts w:eastAsia="仿宋_GB2312"/>
                <w:color w:val="000000"/>
                <w:kern w:val="0"/>
                <w:szCs w:val="21"/>
                <w:highlight w:val="none"/>
              </w:rPr>
              <w:t>30</w:t>
            </w:r>
            <w:r>
              <w:rPr>
                <w:rFonts w:hint="eastAsia" w:eastAsia="仿宋_GB2312"/>
                <w:color w:val="000000"/>
                <w:kern w:val="0"/>
                <w:szCs w:val="21"/>
                <w:highlight w:val="none"/>
              </w:rPr>
              <w:t>分）</w:t>
            </w:r>
          </w:p>
        </w:tc>
        <w:tc>
          <w:tcPr>
            <w:tcW w:w="953" w:type="dxa"/>
            <w:tcBorders>
              <w:top w:val="nil"/>
              <w:left w:val="nil"/>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经济效</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益指标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地质主业</w:t>
            </w:r>
          </w:p>
        </w:tc>
        <w:tc>
          <w:tcPr>
            <w:tcW w:w="1654"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发展态势良好</w:t>
            </w:r>
          </w:p>
        </w:tc>
        <w:tc>
          <w:tcPr>
            <w:tcW w:w="82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100%</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10</w:t>
            </w:r>
          </w:p>
        </w:tc>
        <w:tc>
          <w:tcPr>
            <w:tcW w:w="99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10</w:t>
            </w: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1080" w:type="dxa"/>
            <w:vMerge w:val="continue"/>
            <w:tcBorders>
              <w:left w:val="nil"/>
              <w:right w:val="single" w:color="auto" w:sz="4" w:space="0"/>
            </w:tcBorders>
            <w:vAlign w:val="center"/>
          </w:tcPr>
          <w:p>
            <w:pPr>
              <w:spacing w:line="240" w:lineRule="exact"/>
              <w:jc w:val="left"/>
              <w:rPr>
                <w:rFonts w:eastAsia="仿宋_GB2312"/>
                <w:color w:val="000000"/>
                <w:kern w:val="0"/>
                <w:szCs w:val="21"/>
                <w:highlight w:val="none"/>
              </w:rPr>
            </w:pPr>
          </w:p>
        </w:tc>
        <w:tc>
          <w:tcPr>
            <w:tcW w:w="953" w:type="dxa"/>
            <w:tcBorders>
              <w:top w:val="nil"/>
              <w:left w:val="nil"/>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社会效</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益指标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确保民生</w:t>
            </w:r>
          </w:p>
        </w:tc>
        <w:tc>
          <w:tcPr>
            <w:tcW w:w="1654"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保持队伍稳定　</w:t>
            </w:r>
          </w:p>
        </w:tc>
        <w:tc>
          <w:tcPr>
            <w:tcW w:w="82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100%</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10</w:t>
            </w:r>
          </w:p>
        </w:tc>
        <w:tc>
          <w:tcPr>
            <w:tcW w:w="99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10</w:t>
            </w: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1080" w:type="dxa"/>
            <w:vMerge w:val="continue"/>
            <w:tcBorders>
              <w:left w:val="nil"/>
              <w:right w:val="single" w:color="auto" w:sz="4" w:space="0"/>
            </w:tcBorders>
            <w:vAlign w:val="center"/>
          </w:tcPr>
          <w:p>
            <w:pPr>
              <w:spacing w:line="240" w:lineRule="exact"/>
              <w:jc w:val="left"/>
              <w:rPr>
                <w:rFonts w:eastAsia="仿宋_GB2312"/>
                <w:color w:val="000000"/>
                <w:kern w:val="0"/>
                <w:szCs w:val="21"/>
                <w:highlight w:val="none"/>
              </w:rPr>
            </w:pPr>
          </w:p>
        </w:tc>
        <w:tc>
          <w:tcPr>
            <w:tcW w:w="953" w:type="dxa"/>
            <w:tcBorders>
              <w:left w:val="nil"/>
              <w:right w:val="single" w:color="auto" w:sz="4" w:space="0"/>
            </w:tcBorders>
            <w:vAlign w:val="center"/>
          </w:tcPr>
          <w:p>
            <w:pPr>
              <w:spacing w:line="240" w:lineRule="exact"/>
              <w:jc w:val="left"/>
              <w:rPr>
                <w:rFonts w:eastAsia="仿宋_GB2312"/>
                <w:color w:val="000000"/>
                <w:kern w:val="0"/>
                <w:szCs w:val="21"/>
                <w:highlight w:val="none"/>
              </w:rPr>
            </w:pPr>
            <w:r>
              <w:rPr>
                <w:rFonts w:hint="eastAsia" w:eastAsia="仿宋_GB2312"/>
                <w:color w:val="000000"/>
                <w:kern w:val="0"/>
                <w:szCs w:val="21"/>
                <w:highlight w:val="none"/>
              </w:rPr>
              <w:t>生态效益指标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环境保护</w:t>
            </w:r>
          </w:p>
        </w:tc>
        <w:tc>
          <w:tcPr>
            <w:tcW w:w="1654"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效果较好</w:t>
            </w:r>
          </w:p>
        </w:tc>
        <w:tc>
          <w:tcPr>
            <w:tcW w:w="82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100%</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10</w:t>
            </w:r>
          </w:p>
        </w:tc>
        <w:tc>
          <w:tcPr>
            <w:tcW w:w="99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10</w:t>
            </w: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w:t>
            </w:r>
          </w:p>
        </w:tc>
      </w:tr>
      <w:tr>
        <w:tblPrEx>
          <w:tblCellMar>
            <w:top w:w="0" w:type="dxa"/>
            <w:left w:w="108" w:type="dxa"/>
            <w:bottom w:w="0" w:type="dxa"/>
            <w:right w:w="108" w:type="dxa"/>
          </w:tblCellMar>
        </w:tblPrEx>
        <w:trPr>
          <w:trHeight w:val="480" w:hRule="atLeast"/>
          <w:jc w:val="center"/>
        </w:trPr>
        <w:tc>
          <w:tcPr>
            <w:tcW w:w="108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绩</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效</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指</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标</w:t>
            </w:r>
          </w:p>
        </w:tc>
        <w:tc>
          <w:tcPr>
            <w:tcW w:w="1080" w:type="dxa"/>
            <w:tcBorders>
              <w:top w:val="single" w:color="auto" w:sz="4" w:space="0"/>
              <w:left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w:t>
            </w:r>
          </w:p>
        </w:tc>
        <w:tc>
          <w:tcPr>
            <w:tcW w:w="953" w:type="dxa"/>
            <w:tcBorders>
              <w:top w:val="single" w:color="auto" w:sz="4" w:space="0"/>
              <w:left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可持续影响指标</w:t>
            </w:r>
          </w:p>
        </w:tc>
        <w:tc>
          <w:tcPr>
            <w:tcW w:w="135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持续发展主业</w:t>
            </w:r>
          </w:p>
        </w:tc>
        <w:tc>
          <w:tcPr>
            <w:tcW w:w="165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发展态势良好</w:t>
            </w:r>
          </w:p>
        </w:tc>
        <w:tc>
          <w:tcPr>
            <w:tcW w:w="82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100%</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5</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5</w:t>
            </w:r>
          </w:p>
        </w:tc>
        <w:tc>
          <w:tcPr>
            <w:tcW w:w="135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w:t>
            </w:r>
          </w:p>
        </w:tc>
      </w:tr>
      <w:tr>
        <w:tblPrEx>
          <w:tblCellMar>
            <w:top w:w="0" w:type="dxa"/>
            <w:left w:w="108" w:type="dxa"/>
            <w:bottom w:w="0" w:type="dxa"/>
            <w:right w:w="108" w:type="dxa"/>
          </w:tblCellMar>
        </w:tblPrEx>
        <w:trPr>
          <w:trHeight w:val="480"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eastAsia="仿宋_GB2312"/>
                <w:color w:val="000000"/>
                <w:kern w:val="0"/>
                <w:szCs w:val="21"/>
                <w:highlight w:val="none"/>
              </w:rPr>
            </w:pPr>
          </w:p>
        </w:tc>
        <w:tc>
          <w:tcPr>
            <w:tcW w:w="1080" w:type="dxa"/>
            <w:tcBorders>
              <w:top w:val="nil"/>
              <w:left w:val="nil"/>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满意度</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指标</w:t>
            </w:r>
          </w:p>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w:t>
            </w:r>
            <w:r>
              <w:rPr>
                <w:rFonts w:eastAsia="仿宋_GB2312"/>
                <w:color w:val="000000"/>
                <w:kern w:val="0"/>
                <w:szCs w:val="21"/>
                <w:highlight w:val="none"/>
              </w:rPr>
              <w:t>10</w:t>
            </w:r>
            <w:r>
              <w:rPr>
                <w:rFonts w:hint="eastAsia" w:eastAsia="仿宋_GB2312"/>
                <w:color w:val="000000"/>
                <w:kern w:val="0"/>
                <w:szCs w:val="21"/>
                <w:highlight w:val="none"/>
              </w:rPr>
              <w:t>分）</w:t>
            </w:r>
          </w:p>
        </w:tc>
        <w:tc>
          <w:tcPr>
            <w:tcW w:w="953" w:type="dxa"/>
            <w:tcBorders>
              <w:top w:val="nil"/>
              <w:left w:val="nil"/>
              <w:right w:val="single" w:color="auto"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服务对象满意度指标</w:t>
            </w:r>
          </w:p>
        </w:tc>
        <w:tc>
          <w:tcPr>
            <w:tcW w:w="1351" w:type="dxa"/>
            <w:gridSpan w:val="2"/>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服务基层</w:t>
            </w:r>
          </w:p>
        </w:tc>
        <w:tc>
          <w:tcPr>
            <w:tcW w:w="1654"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效果较好</w:t>
            </w:r>
          </w:p>
        </w:tc>
        <w:tc>
          <w:tcPr>
            <w:tcW w:w="82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100%</w:t>
            </w:r>
          </w:p>
        </w:tc>
        <w:tc>
          <w:tcPr>
            <w:tcW w:w="709"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5</w:t>
            </w:r>
          </w:p>
        </w:tc>
        <w:tc>
          <w:tcPr>
            <w:tcW w:w="99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5</w:t>
            </w: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w:t>
            </w:r>
          </w:p>
        </w:tc>
      </w:tr>
      <w:tr>
        <w:tblPrEx>
          <w:tblCellMar>
            <w:top w:w="0" w:type="dxa"/>
            <w:left w:w="108" w:type="dxa"/>
            <w:bottom w:w="0" w:type="dxa"/>
            <w:right w:w="108" w:type="dxa"/>
          </w:tblCellMar>
        </w:tblPrEx>
        <w:trPr>
          <w:trHeight w:val="270" w:hRule="atLeast"/>
          <w:jc w:val="center"/>
        </w:trPr>
        <w:tc>
          <w:tcPr>
            <w:tcW w:w="6940" w:type="dxa"/>
            <w:gridSpan w:val="7"/>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eastAsia="仿宋_GB2312"/>
                <w:color w:val="000000"/>
                <w:kern w:val="0"/>
                <w:szCs w:val="21"/>
                <w:highlight w:val="none"/>
              </w:rPr>
            </w:pPr>
            <w:r>
              <w:rPr>
                <w:rFonts w:hint="eastAsia" w:eastAsia="仿宋_GB2312"/>
                <w:color w:val="000000"/>
                <w:kern w:val="0"/>
                <w:szCs w:val="21"/>
                <w:highlight w:val="none"/>
              </w:rPr>
              <w:t>总分</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highlight w:val="none"/>
              </w:rPr>
            </w:pPr>
            <w:r>
              <w:rPr>
                <w:rFonts w:eastAsia="仿宋_GB2312"/>
                <w:color w:val="000000"/>
                <w:kern w:val="0"/>
                <w:szCs w:val="21"/>
                <w:highlight w:val="none"/>
              </w:rPr>
              <w:t>100</w:t>
            </w:r>
          </w:p>
        </w:tc>
        <w:tc>
          <w:tcPr>
            <w:tcW w:w="99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97</w:t>
            </w:r>
          </w:p>
        </w:tc>
        <w:tc>
          <w:tcPr>
            <w:tcW w:w="1352" w:type="dxa"/>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kern w:val="0"/>
                <w:szCs w:val="21"/>
                <w:highlight w:val="none"/>
              </w:rPr>
            </w:pPr>
            <w:r>
              <w:rPr>
                <w:rFonts w:hint="eastAsia" w:eastAsia="仿宋_GB2312"/>
                <w:color w:val="000000"/>
                <w:kern w:val="0"/>
                <w:szCs w:val="21"/>
                <w:highlight w:val="none"/>
              </w:rPr>
              <w:t>　</w:t>
            </w:r>
          </w:p>
        </w:tc>
      </w:tr>
    </w:tbl>
    <w:p>
      <w:pPr>
        <w:widowControl/>
        <w:spacing w:line="240" w:lineRule="exact"/>
        <w:jc w:val="left"/>
        <w:rPr>
          <w:rFonts w:eastAsia="仿宋_GB2312"/>
          <w:kern w:val="0"/>
          <w:szCs w:val="21"/>
          <w:highlight w:val="none"/>
        </w:rPr>
      </w:pPr>
    </w:p>
    <w:p>
      <w:pPr>
        <w:widowControl/>
        <w:spacing w:line="600" w:lineRule="exact"/>
        <w:jc w:val="left"/>
        <w:rPr>
          <w:rFonts w:eastAsia="黑体"/>
          <w:sz w:val="32"/>
          <w:szCs w:val="32"/>
          <w:highlight w:val="none"/>
        </w:rPr>
      </w:pPr>
      <w:r>
        <w:rPr>
          <w:rFonts w:hint="eastAsia" w:eastAsia="仿宋_GB2312"/>
          <w:kern w:val="0"/>
          <w:szCs w:val="21"/>
          <w:highlight w:val="none"/>
        </w:rPr>
        <w:t>填表人：</w:t>
      </w:r>
      <w:r>
        <w:rPr>
          <w:rFonts w:eastAsia="仿宋_GB2312"/>
          <w:kern w:val="0"/>
          <w:szCs w:val="21"/>
          <w:highlight w:val="none"/>
        </w:rPr>
        <w:t xml:space="preserve">        </w:t>
      </w:r>
      <w:r>
        <w:rPr>
          <w:rFonts w:hint="eastAsia" w:eastAsia="仿宋_GB2312"/>
          <w:kern w:val="0"/>
          <w:szCs w:val="21"/>
          <w:highlight w:val="none"/>
        </w:rPr>
        <w:t>填报日期：</w:t>
      </w:r>
      <w:r>
        <w:rPr>
          <w:rFonts w:eastAsia="仿宋_GB2312"/>
          <w:kern w:val="0"/>
          <w:szCs w:val="21"/>
          <w:highlight w:val="none"/>
        </w:rPr>
        <w:t xml:space="preserve">          </w:t>
      </w:r>
      <w:r>
        <w:rPr>
          <w:rFonts w:hint="eastAsia" w:eastAsia="仿宋_GB2312"/>
          <w:kern w:val="0"/>
          <w:szCs w:val="21"/>
          <w:highlight w:val="none"/>
        </w:rPr>
        <w:t>联系电话：</w:t>
      </w:r>
      <w:r>
        <w:rPr>
          <w:rFonts w:eastAsia="仿宋_GB2312"/>
          <w:kern w:val="0"/>
          <w:szCs w:val="21"/>
          <w:highlight w:val="none"/>
        </w:rPr>
        <w:t xml:space="preserve">            </w:t>
      </w:r>
      <w:r>
        <w:rPr>
          <w:rFonts w:hint="eastAsia" w:eastAsia="仿宋_GB2312"/>
          <w:kern w:val="0"/>
          <w:szCs w:val="21"/>
          <w:highlight w:val="none"/>
        </w:rPr>
        <w:t>单位负责人签字：</w:t>
      </w:r>
    </w:p>
    <w:p>
      <w:pPr>
        <w:ind w:firstLine="640" w:firstLineChars="200"/>
        <w:jc w:val="left"/>
        <w:rPr>
          <w:rFonts w:cs="黑体" w:asciiTheme="minorEastAsia" w:hAnsiTheme="minorEastAsia"/>
          <w:color w:val="000000"/>
          <w:kern w:val="0"/>
          <w:sz w:val="32"/>
          <w:szCs w:val="32"/>
          <w:highlight w:val="none"/>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00AB7"/>
    <w:multiLevelType w:val="singleLevel"/>
    <w:tmpl w:val="AAF00AB7"/>
    <w:lvl w:ilvl="0" w:tentative="0">
      <w:start w:val="3"/>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E8DE6F"/>
    <w:multiLevelType w:val="singleLevel"/>
    <w:tmpl w:val="6DE8DE6F"/>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OThlNzc1NzJkYjM5OWY0NGM0ZjA0OGE0YTc2OGIifQ=="/>
  </w:docVars>
  <w:rsids>
    <w:rsidRoot w:val="004506F9"/>
    <w:rsid w:val="0002229B"/>
    <w:rsid w:val="000273BD"/>
    <w:rsid w:val="000415B7"/>
    <w:rsid w:val="00041E3F"/>
    <w:rsid w:val="00055DAA"/>
    <w:rsid w:val="00061F7B"/>
    <w:rsid w:val="000658A3"/>
    <w:rsid w:val="00074155"/>
    <w:rsid w:val="000A3F69"/>
    <w:rsid w:val="000E7BE6"/>
    <w:rsid w:val="00103957"/>
    <w:rsid w:val="00152C6D"/>
    <w:rsid w:val="00162D39"/>
    <w:rsid w:val="001678BD"/>
    <w:rsid w:val="0017103E"/>
    <w:rsid w:val="001A67DB"/>
    <w:rsid w:val="001C3C29"/>
    <w:rsid w:val="001C617C"/>
    <w:rsid w:val="001D51E5"/>
    <w:rsid w:val="001E080D"/>
    <w:rsid w:val="001E4CA0"/>
    <w:rsid w:val="001E53D0"/>
    <w:rsid w:val="001F0C3B"/>
    <w:rsid w:val="00202C82"/>
    <w:rsid w:val="00214427"/>
    <w:rsid w:val="00226CB7"/>
    <w:rsid w:val="00264552"/>
    <w:rsid w:val="00264EF9"/>
    <w:rsid w:val="00265724"/>
    <w:rsid w:val="0027426B"/>
    <w:rsid w:val="002E0A30"/>
    <w:rsid w:val="003130C4"/>
    <w:rsid w:val="0031684C"/>
    <w:rsid w:val="00316C4B"/>
    <w:rsid w:val="0032192B"/>
    <w:rsid w:val="003479BD"/>
    <w:rsid w:val="0037197D"/>
    <w:rsid w:val="003768D5"/>
    <w:rsid w:val="003C47E6"/>
    <w:rsid w:val="003C4FC2"/>
    <w:rsid w:val="00416E61"/>
    <w:rsid w:val="0042790C"/>
    <w:rsid w:val="004506F9"/>
    <w:rsid w:val="0045760F"/>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86673"/>
    <w:rsid w:val="00691E8C"/>
    <w:rsid w:val="006A22C4"/>
    <w:rsid w:val="006A351B"/>
    <w:rsid w:val="006A570F"/>
    <w:rsid w:val="006B0422"/>
    <w:rsid w:val="006C1B53"/>
    <w:rsid w:val="006D7730"/>
    <w:rsid w:val="006E5284"/>
    <w:rsid w:val="006F3EB5"/>
    <w:rsid w:val="00702E34"/>
    <w:rsid w:val="00704395"/>
    <w:rsid w:val="00711CEB"/>
    <w:rsid w:val="00717621"/>
    <w:rsid w:val="00720FF1"/>
    <w:rsid w:val="00727A53"/>
    <w:rsid w:val="00787B42"/>
    <w:rsid w:val="007930FF"/>
    <w:rsid w:val="007C4539"/>
    <w:rsid w:val="007F3657"/>
    <w:rsid w:val="00812ED5"/>
    <w:rsid w:val="008277D9"/>
    <w:rsid w:val="0084478C"/>
    <w:rsid w:val="0086638C"/>
    <w:rsid w:val="008A3E8D"/>
    <w:rsid w:val="008C3628"/>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E0C11"/>
    <w:rsid w:val="00B33BEA"/>
    <w:rsid w:val="00B57C9F"/>
    <w:rsid w:val="00B63572"/>
    <w:rsid w:val="00B845B3"/>
    <w:rsid w:val="00B85D8B"/>
    <w:rsid w:val="00BB4A40"/>
    <w:rsid w:val="00BD6C3E"/>
    <w:rsid w:val="00BE3674"/>
    <w:rsid w:val="00C04095"/>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221C5"/>
    <w:rsid w:val="00F74360"/>
    <w:rsid w:val="00FB462F"/>
    <w:rsid w:val="00FE16FA"/>
    <w:rsid w:val="00FE328A"/>
    <w:rsid w:val="00FE6269"/>
    <w:rsid w:val="00FF5CD6"/>
    <w:rsid w:val="010714E3"/>
    <w:rsid w:val="01272D42"/>
    <w:rsid w:val="01CC6026"/>
    <w:rsid w:val="01F7672A"/>
    <w:rsid w:val="029F026F"/>
    <w:rsid w:val="02F82BB4"/>
    <w:rsid w:val="033F583C"/>
    <w:rsid w:val="038B1A4F"/>
    <w:rsid w:val="03D66403"/>
    <w:rsid w:val="03DC037E"/>
    <w:rsid w:val="03DE6BE6"/>
    <w:rsid w:val="04171E21"/>
    <w:rsid w:val="04A51DFF"/>
    <w:rsid w:val="050A554B"/>
    <w:rsid w:val="052625AF"/>
    <w:rsid w:val="05945107"/>
    <w:rsid w:val="06930933"/>
    <w:rsid w:val="06CF7034"/>
    <w:rsid w:val="082F0EEF"/>
    <w:rsid w:val="08B51C96"/>
    <w:rsid w:val="08D849A0"/>
    <w:rsid w:val="09024DEC"/>
    <w:rsid w:val="092F5C30"/>
    <w:rsid w:val="09690B85"/>
    <w:rsid w:val="09AD3D22"/>
    <w:rsid w:val="09BD2048"/>
    <w:rsid w:val="09F064E7"/>
    <w:rsid w:val="0A726EFC"/>
    <w:rsid w:val="0BB32E8E"/>
    <w:rsid w:val="0C5A32DB"/>
    <w:rsid w:val="0E727E2A"/>
    <w:rsid w:val="0EB41DA1"/>
    <w:rsid w:val="0F3D5531"/>
    <w:rsid w:val="10060050"/>
    <w:rsid w:val="10263C6B"/>
    <w:rsid w:val="105B7FD1"/>
    <w:rsid w:val="10DA5938"/>
    <w:rsid w:val="114D09FD"/>
    <w:rsid w:val="12015D41"/>
    <w:rsid w:val="120E6BB6"/>
    <w:rsid w:val="13A22D95"/>
    <w:rsid w:val="13BF1404"/>
    <w:rsid w:val="13DC3661"/>
    <w:rsid w:val="140678F5"/>
    <w:rsid w:val="140C50D1"/>
    <w:rsid w:val="140D6455"/>
    <w:rsid w:val="14A87C84"/>
    <w:rsid w:val="15AD458A"/>
    <w:rsid w:val="16213CD6"/>
    <w:rsid w:val="169847F5"/>
    <w:rsid w:val="17192E96"/>
    <w:rsid w:val="1739209F"/>
    <w:rsid w:val="17C7019C"/>
    <w:rsid w:val="18315D94"/>
    <w:rsid w:val="186A5D82"/>
    <w:rsid w:val="189D4F62"/>
    <w:rsid w:val="18A3060B"/>
    <w:rsid w:val="18F40D29"/>
    <w:rsid w:val="19230F15"/>
    <w:rsid w:val="1966709B"/>
    <w:rsid w:val="199436F1"/>
    <w:rsid w:val="1AA556D2"/>
    <w:rsid w:val="1AC730F7"/>
    <w:rsid w:val="1B0C060A"/>
    <w:rsid w:val="1B5B70A8"/>
    <w:rsid w:val="1BE1378C"/>
    <w:rsid w:val="1C7F0626"/>
    <w:rsid w:val="1D2827F9"/>
    <w:rsid w:val="1D3B1135"/>
    <w:rsid w:val="1D864439"/>
    <w:rsid w:val="1DD36797"/>
    <w:rsid w:val="1E142EF3"/>
    <w:rsid w:val="1E372280"/>
    <w:rsid w:val="1E727D82"/>
    <w:rsid w:val="201604BA"/>
    <w:rsid w:val="201C05C6"/>
    <w:rsid w:val="20285DC0"/>
    <w:rsid w:val="20F002CE"/>
    <w:rsid w:val="214967B1"/>
    <w:rsid w:val="22690678"/>
    <w:rsid w:val="23972A30"/>
    <w:rsid w:val="243B4936"/>
    <w:rsid w:val="254C0860"/>
    <w:rsid w:val="26E9126F"/>
    <w:rsid w:val="28B1695B"/>
    <w:rsid w:val="28DD50C9"/>
    <w:rsid w:val="2A3B1672"/>
    <w:rsid w:val="2A4A2A62"/>
    <w:rsid w:val="2A5D4CE5"/>
    <w:rsid w:val="2A7110D4"/>
    <w:rsid w:val="2ADF4D8F"/>
    <w:rsid w:val="2BC927D5"/>
    <w:rsid w:val="2CC918CF"/>
    <w:rsid w:val="2D712DC5"/>
    <w:rsid w:val="2E813ED1"/>
    <w:rsid w:val="2F341AF6"/>
    <w:rsid w:val="2F9F375A"/>
    <w:rsid w:val="2FA60EAB"/>
    <w:rsid w:val="31005293"/>
    <w:rsid w:val="31611F44"/>
    <w:rsid w:val="316560F1"/>
    <w:rsid w:val="31A27A4F"/>
    <w:rsid w:val="32E66EBA"/>
    <w:rsid w:val="3490663D"/>
    <w:rsid w:val="349E15E0"/>
    <w:rsid w:val="34B4326E"/>
    <w:rsid w:val="35BF724D"/>
    <w:rsid w:val="3650792B"/>
    <w:rsid w:val="366D4898"/>
    <w:rsid w:val="368B4F85"/>
    <w:rsid w:val="372366E0"/>
    <w:rsid w:val="37282FAB"/>
    <w:rsid w:val="37343B7A"/>
    <w:rsid w:val="38A51ED8"/>
    <w:rsid w:val="3A2276EF"/>
    <w:rsid w:val="3A7826E2"/>
    <w:rsid w:val="3B517DBC"/>
    <w:rsid w:val="3B695CB2"/>
    <w:rsid w:val="3B8913B2"/>
    <w:rsid w:val="3BB94DA4"/>
    <w:rsid w:val="3BC21AFD"/>
    <w:rsid w:val="3C133EE2"/>
    <w:rsid w:val="3C23569A"/>
    <w:rsid w:val="3FE74617"/>
    <w:rsid w:val="40D3004F"/>
    <w:rsid w:val="417648CE"/>
    <w:rsid w:val="42C91819"/>
    <w:rsid w:val="43141E2A"/>
    <w:rsid w:val="432B31E6"/>
    <w:rsid w:val="43523FE0"/>
    <w:rsid w:val="43637EF7"/>
    <w:rsid w:val="438E1CF4"/>
    <w:rsid w:val="43BB1B69"/>
    <w:rsid w:val="43E5392C"/>
    <w:rsid w:val="4459303B"/>
    <w:rsid w:val="44D00FD6"/>
    <w:rsid w:val="44E63D1F"/>
    <w:rsid w:val="44F0145A"/>
    <w:rsid w:val="451B40F8"/>
    <w:rsid w:val="4571263A"/>
    <w:rsid w:val="46087571"/>
    <w:rsid w:val="46225084"/>
    <w:rsid w:val="46253452"/>
    <w:rsid w:val="46E47EF0"/>
    <w:rsid w:val="46ED7EEE"/>
    <w:rsid w:val="47C12F17"/>
    <w:rsid w:val="47FF52DA"/>
    <w:rsid w:val="481D400D"/>
    <w:rsid w:val="482E75D3"/>
    <w:rsid w:val="48A751FF"/>
    <w:rsid w:val="48BC5257"/>
    <w:rsid w:val="48C96563"/>
    <w:rsid w:val="48CE3193"/>
    <w:rsid w:val="49870A9B"/>
    <w:rsid w:val="49A34CA0"/>
    <w:rsid w:val="49BB13E1"/>
    <w:rsid w:val="4A1E1805"/>
    <w:rsid w:val="4B351098"/>
    <w:rsid w:val="4BC825C6"/>
    <w:rsid w:val="4C6F5D91"/>
    <w:rsid w:val="4CD0791B"/>
    <w:rsid w:val="4D4A619D"/>
    <w:rsid w:val="4D5735B3"/>
    <w:rsid w:val="4E281792"/>
    <w:rsid w:val="4E5953FD"/>
    <w:rsid w:val="4EFE1F4A"/>
    <w:rsid w:val="4F45784F"/>
    <w:rsid w:val="4F8C0DE3"/>
    <w:rsid w:val="4FA936FE"/>
    <w:rsid w:val="509B48F2"/>
    <w:rsid w:val="519238DC"/>
    <w:rsid w:val="51954105"/>
    <w:rsid w:val="51F31E36"/>
    <w:rsid w:val="525E4B4F"/>
    <w:rsid w:val="52E26F10"/>
    <w:rsid w:val="53217CF1"/>
    <w:rsid w:val="53420B93"/>
    <w:rsid w:val="53AF2D34"/>
    <w:rsid w:val="541762DF"/>
    <w:rsid w:val="54586965"/>
    <w:rsid w:val="552D65B1"/>
    <w:rsid w:val="55871767"/>
    <w:rsid w:val="561A3C9D"/>
    <w:rsid w:val="56836BA6"/>
    <w:rsid w:val="56D449A1"/>
    <w:rsid w:val="56ED2FC3"/>
    <w:rsid w:val="56FB1536"/>
    <w:rsid w:val="57006B33"/>
    <w:rsid w:val="572324ED"/>
    <w:rsid w:val="57A357AA"/>
    <w:rsid w:val="583A7FB4"/>
    <w:rsid w:val="58636488"/>
    <w:rsid w:val="59A24E50"/>
    <w:rsid w:val="59A90A38"/>
    <w:rsid w:val="59B5501E"/>
    <w:rsid w:val="59FF1D3D"/>
    <w:rsid w:val="5A047ED2"/>
    <w:rsid w:val="5A062A08"/>
    <w:rsid w:val="5A0D1603"/>
    <w:rsid w:val="5A5E20B5"/>
    <w:rsid w:val="5B777C90"/>
    <w:rsid w:val="5B7B26B1"/>
    <w:rsid w:val="5BC30581"/>
    <w:rsid w:val="5BEB44E6"/>
    <w:rsid w:val="5C02023E"/>
    <w:rsid w:val="5C3320A3"/>
    <w:rsid w:val="5D283A7F"/>
    <w:rsid w:val="5D2D3EDF"/>
    <w:rsid w:val="5D3637A1"/>
    <w:rsid w:val="5DC855E7"/>
    <w:rsid w:val="5EAF4992"/>
    <w:rsid w:val="5F174A7A"/>
    <w:rsid w:val="5F4D1FC6"/>
    <w:rsid w:val="5F8F2FDC"/>
    <w:rsid w:val="604A7D52"/>
    <w:rsid w:val="613D05B2"/>
    <w:rsid w:val="61B82CAB"/>
    <w:rsid w:val="6286021F"/>
    <w:rsid w:val="62A1795A"/>
    <w:rsid w:val="62FA121E"/>
    <w:rsid w:val="630800CA"/>
    <w:rsid w:val="63D644B7"/>
    <w:rsid w:val="648A7A01"/>
    <w:rsid w:val="6515499C"/>
    <w:rsid w:val="653215DC"/>
    <w:rsid w:val="65795166"/>
    <w:rsid w:val="65B504BF"/>
    <w:rsid w:val="66474526"/>
    <w:rsid w:val="66B65891"/>
    <w:rsid w:val="66F84AF9"/>
    <w:rsid w:val="670C394F"/>
    <w:rsid w:val="680A5F81"/>
    <w:rsid w:val="68506300"/>
    <w:rsid w:val="68641CDC"/>
    <w:rsid w:val="68F87BC4"/>
    <w:rsid w:val="69751941"/>
    <w:rsid w:val="6A0A17FA"/>
    <w:rsid w:val="6A242EE4"/>
    <w:rsid w:val="6A3F4D39"/>
    <w:rsid w:val="6AC536C1"/>
    <w:rsid w:val="6C0878A6"/>
    <w:rsid w:val="6CF95160"/>
    <w:rsid w:val="6DFE2F8A"/>
    <w:rsid w:val="6E347B0A"/>
    <w:rsid w:val="6E515EC5"/>
    <w:rsid w:val="6EF33405"/>
    <w:rsid w:val="6F691C0C"/>
    <w:rsid w:val="6F9A489F"/>
    <w:rsid w:val="6FB40094"/>
    <w:rsid w:val="7007267E"/>
    <w:rsid w:val="70572C95"/>
    <w:rsid w:val="71BA7AF0"/>
    <w:rsid w:val="71C46679"/>
    <w:rsid w:val="7246072D"/>
    <w:rsid w:val="73522E89"/>
    <w:rsid w:val="743668D4"/>
    <w:rsid w:val="745443D7"/>
    <w:rsid w:val="74DC5179"/>
    <w:rsid w:val="75F8467C"/>
    <w:rsid w:val="7627356B"/>
    <w:rsid w:val="766A6123"/>
    <w:rsid w:val="769C7D7A"/>
    <w:rsid w:val="771A4688"/>
    <w:rsid w:val="77CB2C4D"/>
    <w:rsid w:val="78337B71"/>
    <w:rsid w:val="78492BCD"/>
    <w:rsid w:val="79261CA7"/>
    <w:rsid w:val="793E722A"/>
    <w:rsid w:val="79913D85"/>
    <w:rsid w:val="79993CE7"/>
    <w:rsid w:val="7A862D08"/>
    <w:rsid w:val="7AB407A4"/>
    <w:rsid w:val="7B0106A2"/>
    <w:rsid w:val="7B2760CA"/>
    <w:rsid w:val="7B2E15B3"/>
    <w:rsid w:val="7B4C2414"/>
    <w:rsid w:val="7B59150A"/>
    <w:rsid w:val="7BAE6D4F"/>
    <w:rsid w:val="7BE64A12"/>
    <w:rsid w:val="7C1D7637"/>
    <w:rsid w:val="7C7E49A8"/>
    <w:rsid w:val="7C906A97"/>
    <w:rsid w:val="7CCC58F9"/>
    <w:rsid w:val="7D3147F5"/>
    <w:rsid w:val="7EC56308"/>
    <w:rsid w:val="7F0839A0"/>
    <w:rsid w:val="7F2368D2"/>
    <w:rsid w:val="7F53080B"/>
    <w:rsid w:val="7F9F4D3E"/>
    <w:rsid w:val="7FEB6869"/>
    <w:rsid w:val="7FFA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styleId="8">
    <w:name w:val="page number"/>
    <w:basedOn w:val="7"/>
    <w:qFormat/>
    <w:uiPriority w:val="0"/>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DBAB7-9AE1-4AE8-BFE1-60000D6E30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6456</Words>
  <Characters>7309</Characters>
  <Lines>59</Lines>
  <Paragraphs>16</Paragraphs>
  <TotalTime>1</TotalTime>
  <ScaleCrop>false</ScaleCrop>
  <LinksUpToDate>false</LinksUpToDate>
  <CharactersWithSpaces>7803</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璐</cp:lastModifiedBy>
  <cp:lastPrinted>2021-08-05T08:54:00Z</cp:lastPrinted>
  <dcterms:modified xsi:type="dcterms:W3CDTF">2022-09-08T08:31:21Z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A2DCDB3E3C1D4045ABC98A4966361BEF</vt:lpwstr>
  </property>
</Properties>
</file>