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湖南省有色地质医院</w:t>
      </w:r>
    </w:p>
    <w:p>
      <w:pPr>
        <w:pStyle w:val="9"/>
        <w:ind w:firstLine="3360" w:firstLineChars="400"/>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rPr>
          <w:sz w:val="32"/>
          <w:szCs w:val="32"/>
        </w:rPr>
      </w:pPr>
    </w:p>
    <w:p>
      <w:pPr>
        <w:pStyle w:val="9"/>
        <w:spacing w:line="500" w:lineRule="exact"/>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第一部分湖南省有色地质医院单位概况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湖南省有色地质医院</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黑体" w:hAnsi="黑体" w:eastAsia="黑体"/>
          <w:sz w:val="32"/>
          <w:szCs w:val="32"/>
        </w:rPr>
      </w:pPr>
    </w:p>
    <w:p>
      <w:pPr>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根据湖南省政府要求，医院在2019年完成了地勘单位第一批涉改，院属企业也因执行省政府“三供一业”政策规定，进行了“关停并转”，因此，我院在2020年的主要工作职能就是围绕改革,做好在职职工及离退休人员的思想工作，和谐稳定职工队伍,做好资产清查等后续工作，努力完成湖南省地质院下达的年初工作任务及经济指标。</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（一）内设机构设置。因单位改革,人员分流内设机构进行了重组，只设置了四个管理科室：综合办公室、纪检监督办公室、经营管理办公室、工会后勤办公室。</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（二）决算单位构成。本单位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20年部门决算汇总公开只有本级事业没账套，不含医院下属企业账套。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7540" w:type="dxa"/>
        <w:tblInd w:w="93" w:type="dxa"/>
        <w:tblLayout w:type="fixed"/>
        <w:tblCellMar>
          <w:top w:w="0" w:type="dxa"/>
          <w:left w:w="108" w:type="dxa"/>
          <w:bottom w:w="0" w:type="dxa"/>
          <w:right w:w="108" w:type="dxa"/>
        </w:tblCellMar>
      </w:tblPr>
      <w:tblGrid>
        <w:gridCol w:w="340"/>
        <w:gridCol w:w="340"/>
        <w:gridCol w:w="340"/>
        <w:gridCol w:w="3920"/>
        <w:gridCol w:w="1299"/>
        <w:gridCol w:w="1450"/>
        <w:gridCol w:w="1233"/>
        <w:gridCol w:w="1167"/>
        <w:gridCol w:w="1517"/>
        <w:gridCol w:w="1332"/>
        <w:gridCol w:w="1800"/>
        <w:gridCol w:w="322"/>
        <w:gridCol w:w="2480"/>
      </w:tblGrid>
      <w:tr>
        <w:tblPrEx>
          <w:tblCellMar>
            <w:top w:w="0" w:type="dxa"/>
            <w:left w:w="108" w:type="dxa"/>
            <w:bottom w:w="0" w:type="dxa"/>
            <w:right w:w="108" w:type="dxa"/>
          </w:tblCellMar>
        </w:tblPrEx>
        <w:trPr>
          <w:gridAfter w:val="1"/>
          <w:wAfter w:w="2480" w:type="dxa"/>
          <w:trHeight w:val="90" w:hRule="atLeast"/>
        </w:trPr>
        <w:tc>
          <w:tcPr>
            <w:tcW w:w="15060" w:type="dxa"/>
            <w:gridSpan w:val="12"/>
            <w:tcBorders>
              <w:top w:val="nil"/>
              <w:left w:val="nil"/>
              <w:bottom w:val="nil"/>
              <w:right w:val="nil"/>
            </w:tcBorders>
            <w:shd w:val="clear" w:color="auto" w:fill="auto"/>
            <w:noWrap/>
            <w:vAlign w:val="center"/>
          </w:tcPr>
          <w:tbl>
            <w:tblPr>
              <w:tblStyle w:val="5"/>
              <w:tblW w:w="14602" w:type="dxa"/>
              <w:tblInd w:w="0" w:type="dxa"/>
              <w:tblLayout w:type="fixed"/>
              <w:tblCellMar>
                <w:top w:w="0" w:type="dxa"/>
                <w:left w:w="108" w:type="dxa"/>
                <w:bottom w:w="0" w:type="dxa"/>
                <w:right w:w="108" w:type="dxa"/>
              </w:tblCellMar>
            </w:tblPr>
            <w:tblGrid>
              <w:gridCol w:w="3593"/>
              <w:gridCol w:w="607"/>
              <w:gridCol w:w="385"/>
              <w:gridCol w:w="425"/>
              <w:gridCol w:w="1701"/>
              <w:gridCol w:w="3969"/>
              <w:gridCol w:w="1082"/>
              <w:gridCol w:w="58"/>
              <w:gridCol w:w="522"/>
              <w:gridCol w:w="1738"/>
              <w:gridCol w:w="522"/>
            </w:tblGrid>
            <w:tr>
              <w:tblPrEx>
                <w:tblCellMar>
                  <w:top w:w="0" w:type="dxa"/>
                  <w:left w:w="108" w:type="dxa"/>
                  <w:bottom w:w="0" w:type="dxa"/>
                  <w:right w:w="108" w:type="dxa"/>
                </w:tblCellMar>
              </w:tblPrEx>
              <w:trPr>
                <w:trHeight w:val="567" w:hRule="exact"/>
              </w:trPr>
              <w:tc>
                <w:tcPr>
                  <w:tcW w:w="420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752" w:type="dxa"/>
                  <w:gridSpan w:val="3"/>
                  <w:tcBorders>
                    <w:top w:val="nil"/>
                    <w:left w:val="nil"/>
                    <w:bottom w:val="nil"/>
                    <w:right w:val="nil"/>
                  </w:tcBorders>
                  <w:shd w:val="clear" w:color="000000" w:fill="FFFFFF"/>
                  <w:noWrap/>
                  <w:vAlign w:val="center"/>
                </w:tcPr>
                <w:p>
                  <w:pPr>
                    <w:widowControl/>
                    <w:ind w:right="104"/>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p>
                  <w:pPr>
                    <w:widowControl/>
                    <w:ind w:left="837" w:leftChars="399"/>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2"/>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1"/>
                <w:wAfter w:w="522" w:type="dxa"/>
                <w:trHeight w:val="300" w:hRule="atLeast"/>
              </w:trPr>
              <w:tc>
                <w:tcPr>
                  <w:tcW w:w="420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6"/>
                      <w:szCs w:val="16"/>
                    </w:rPr>
                  </w:pPr>
                </w:p>
              </w:tc>
              <w:tc>
                <w:tcPr>
                  <w:tcW w:w="81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70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4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2260" w:type="dxa"/>
                  <w:gridSpan w:val="2"/>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公开01表</w:t>
                  </w:r>
                </w:p>
              </w:tc>
            </w:tr>
            <w:tr>
              <w:tblPrEx>
                <w:tblCellMar>
                  <w:top w:w="0" w:type="dxa"/>
                  <w:left w:w="108" w:type="dxa"/>
                  <w:bottom w:w="0" w:type="dxa"/>
                  <w:right w:w="108" w:type="dxa"/>
                </w:tblCellMar>
              </w:tblPrEx>
              <w:trPr>
                <w:gridAfter w:val="1"/>
                <w:wAfter w:w="522" w:type="dxa"/>
                <w:trHeight w:val="300" w:hRule="atLeast"/>
              </w:trPr>
              <w:tc>
                <w:tcPr>
                  <w:tcW w:w="4200"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部门：湖南省有色地质医院</w:t>
                  </w:r>
                </w:p>
              </w:tc>
              <w:tc>
                <w:tcPr>
                  <w:tcW w:w="810"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701"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2020年度</w:t>
                  </w:r>
                </w:p>
              </w:tc>
              <w:tc>
                <w:tcPr>
                  <w:tcW w:w="3969"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40"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2260" w:type="dxa"/>
                  <w:gridSpan w:val="2"/>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金额单位：万元</w:t>
                  </w:r>
                </w:p>
              </w:tc>
            </w:tr>
            <w:tr>
              <w:tblPrEx>
                <w:tblCellMar>
                  <w:top w:w="0" w:type="dxa"/>
                  <w:left w:w="108" w:type="dxa"/>
                  <w:bottom w:w="0" w:type="dxa"/>
                  <w:right w:w="108" w:type="dxa"/>
                </w:tblCellMar>
              </w:tblPrEx>
              <w:trPr>
                <w:gridAfter w:val="1"/>
                <w:wAfter w:w="522" w:type="dxa"/>
                <w:trHeight w:val="255" w:hRule="exact"/>
              </w:trPr>
              <w:tc>
                <w:tcPr>
                  <w:tcW w:w="6711"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收入</w:t>
                  </w:r>
                </w:p>
              </w:tc>
              <w:tc>
                <w:tcPr>
                  <w:tcW w:w="7369"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支出</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项目</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行次</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金额</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项目</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行次</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金额</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栏次</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　</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栏次</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　</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一、一般公共预算财政拨款收入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786.74</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一、一般公共服务支出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32</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二、政府性基金预算财政拨款收入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二、外交支出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33</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三、国有资本经营预算财政拨款收入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三、国防支出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34</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四、上级补助收入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四、公共安全支出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35</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五、事业收入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205.44</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五、教育支出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36</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0.90</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六、经营收入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6</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六、科学技术支出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37</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七、附属单位上缴收入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7</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七、文化旅游体育与传媒支出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38</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八、其他收入</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8</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八、社会保障和就业支出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39</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98.73</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9</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九、卫生健康支出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40</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48.63</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10</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十、节能环保支出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41</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11</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十一、城乡社区支出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42</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12</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十二、农林水支出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43</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13</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十三、交通运输支出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44</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14</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十四、资源勘探工业信息等支出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45</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72.00</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15</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十五、商业服务业等支出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46</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16</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十六、金融支出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47</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17</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十七、援助其他地区支出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48</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18</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十八、自然资源海洋气象等支出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49</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717.84</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19</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十九、住房保障支出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50</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53.61</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20</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二十、粮油物资储备支出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51</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21</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二十一、国有资本经营预算支出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52</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22</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二十二、灾害防治及应急管理支出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53</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23</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二十三、其他支出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54</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16"/>
                      <w:szCs w:val="16"/>
                    </w:rPr>
                  </w:pPr>
                  <w:r>
                    <w:rPr>
                      <w:rFonts w:hint="eastAsia" w:ascii="宋体" w:hAnsi="宋体" w:eastAsia="宋体" w:cs="Arial"/>
                      <w:b/>
                      <w:bCs/>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24</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二十四、债务还本支出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55</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25</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二十五、债务付息支出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56</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26</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二十六、抗疫特别国债安排的支出</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57</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16"/>
                      <w:szCs w:val="16"/>
                    </w:rPr>
                  </w:pPr>
                  <w:r>
                    <w:rPr>
                      <w:rFonts w:hint="eastAsia" w:ascii="宋体" w:hAnsi="宋体" w:eastAsia="宋体" w:cs="Arial"/>
                      <w:b/>
                      <w:bCs/>
                      <w:kern w:val="0"/>
                      <w:sz w:val="16"/>
                      <w:szCs w:val="16"/>
                    </w:rPr>
                    <w:t>本年收入合计</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27</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992.18</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16"/>
                      <w:szCs w:val="16"/>
                    </w:rPr>
                  </w:pPr>
                  <w:r>
                    <w:rPr>
                      <w:rFonts w:hint="eastAsia" w:ascii="宋体" w:hAnsi="宋体" w:eastAsia="宋体" w:cs="Arial"/>
                      <w:b/>
                      <w:bCs/>
                      <w:kern w:val="0"/>
                      <w:sz w:val="16"/>
                      <w:szCs w:val="16"/>
                    </w:rPr>
                    <w:t>本年支出合计</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58</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991.71</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使用非财政拨款结余</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28</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结余分配</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59</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0.47</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年初结转和结余</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29</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年末结转和结余</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60</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30</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　</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61</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16"/>
                      <w:szCs w:val="16"/>
                    </w:rPr>
                  </w:pPr>
                  <w:r>
                    <w:rPr>
                      <w:rFonts w:hint="eastAsia" w:ascii="宋体" w:hAnsi="宋体" w:eastAsia="宋体" w:cs="Arial"/>
                      <w:kern w:val="0"/>
                      <w:sz w:val="16"/>
                      <w:szCs w:val="16"/>
                    </w:rPr>
                    <w:t>　</w:t>
                  </w:r>
                </w:p>
              </w:tc>
            </w:tr>
            <w:tr>
              <w:tblPrEx>
                <w:tblCellMar>
                  <w:top w:w="0" w:type="dxa"/>
                  <w:left w:w="108" w:type="dxa"/>
                  <w:bottom w:w="0" w:type="dxa"/>
                  <w:right w:w="108" w:type="dxa"/>
                </w:tblCellMar>
              </w:tblPrEx>
              <w:trPr>
                <w:gridAfter w:val="1"/>
                <w:wAfter w:w="522" w:type="dxa"/>
                <w:trHeight w:val="255" w:hRule="exact"/>
              </w:trPr>
              <w:tc>
                <w:tcPr>
                  <w:tcW w:w="359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总计</w:t>
                  </w:r>
                </w:p>
              </w:tc>
              <w:tc>
                <w:tcPr>
                  <w:tcW w:w="992" w:type="dxa"/>
                  <w:gridSpan w:val="2"/>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31</w:t>
                  </w:r>
                </w:p>
              </w:tc>
              <w:tc>
                <w:tcPr>
                  <w:tcW w:w="212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992.18</w:t>
                  </w:r>
                </w:p>
              </w:tc>
              <w:tc>
                <w:tcPr>
                  <w:tcW w:w="396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总计</w:t>
                  </w:r>
                </w:p>
              </w:tc>
              <w:tc>
                <w:tcPr>
                  <w:tcW w:w="114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16"/>
                      <w:szCs w:val="16"/>
                    </w:rPr>
                  </w:pPr>
                  <w:r>
                    <w:rPr>
                      <w:rFonts w:hint="eastAsia" w:ascii="宋体" w:hAnsi="宋体" w:eastAsia="宋体" w:cs="Arial"/>
                      <w:kern w:val="0"/>
                      <w:sz w:val="16"/>
                      <w:szCs w:val="16"/>
                    </w:rPr>
                    <w:t>62</w:t>
                  </w:r>
                </w:p>
              </w:tc>
              <w:tc>
                <w:tcPr>
                  <w:tcW w:w="22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6"/>
                      <w:szCs w:val="16"/>
                    </w:rPr>
                  </w:pPr>
                  <w:r>
                    <w:rPr>
                      <w:rFonts w:hint="eastAsia" w:ascii="宋体" w:hAnsi="宋体" w:eastAsia="宋体" w:cs="Arial"/>
                      <w:kern w:val="0"/>
                      <w:sz w:val="16"/>
                      <w:szCs w:val="16"/>
                    </w:rPr>
                    <w:t>992.18</w:t>
                  </w:r>
                </w:p>
              </w:tc>
            </w:tr>
            <w:tr>
              <w:tblPrEx>
                <w:tblCellMar>
                  <w:top w:w="0" w:type="dxa"/>
                  <w:left w:w="108" w:type="dxa"/>
                  <w:bottom w:w="0" w:type="dxa"/>
                  <w:right w:w="108" w:type="dxa"/>
                </w:tblCellMar>
              </w:tblPrEx>
              <w:trPr>
                <w:gridAfter w:val="1"/>
                <w:wAfter w:w="522" w:type="dxa"/>
                <w:trHeight w:val="283" w:hRule="exact"/>
              </w:trPr>
              <w:tc>
                <w:tcPr>
                  <w:tcW w:w="14080"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注：本表反映部门本年度的总收支和年末结转结余情况。本套报表金额单位转换时可能存在尾数误差。</w:t>
                  </w:r>
                </w:p>
              </w:tc>
            </w:tr>
          </w:tbl>
          <w:p>
            <w:pPr>
              <w:widowControl/>
              <w:rPr>
                <w:rFonts w:ascii="华文中宋" w:hAnsi="华文中宋" w:eastAsia="华文中宋" w:cs="宋体"/>
                <w:color w:val="000000"/>
                <w:kern w:val="0"/>
                <w:sz w:val="32"/>
                <w:szCs w:val="32"/>
              </w:rPr>
            </w:pPr>
          </w:p>
        </w:tc>
      </w:tr>
      <w:tr>
        <w:tblPrEx>
          <w:tblCellMar>
            <w:top w:w="0" w:type="dxa"/>
            <w:left w:w="108" w:type="dxa"/>
            <w:bottom w:w="0" w:type="dxa"/>
            <w:right w:w="108" w:type="dxa"/>
          </w:tblCellMar>
        </w:tblPrEx>
        <w:trPr>
          <w:gridAfter w:val="2"/>
          <w:wAfter w:w="2802" w:type="dxa"/>
          <w:trHeight w:val="441"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9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83" w:type="dxa"/>
            <w:gridSpan w:val="2"/>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6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2"/>
          <w:wAfter w:w="2802" w:type="dxa"/>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9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5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6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公开02表</w:t>
            </w:r>
          </w:p>
        </w:tc>
      </w:tr>
      <w:tr>
        <w:tblPrEx>
          <w:tblCellMar>
            <w:top w:w="0" w:type="dxa"/>
            <w:left w:w="108" w:type="dxa"/>
            <w:bottom w:w="0" w:type="dxa"/>
            <w:right w:w="108" w:type="dxa"/>
          </w:tblCellMar>
        </w:tblPrEx>
        <w:trPr>
          <w:gridAfter w:val="2"/>
          <w:wAfter w:w="2802" w:type="dxa"/>
          <w:trHeight w:val="300" w:hRule="atLeast"/>
        </w:trPr>
        <w:tc>
          <w:tcPr>
            <w:tcW w:w="4940" w:type="dxa"/>
            <w:gridSpan w:val="4"/>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1299"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50"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2020年度</w:t>
            </w:r>
          </w:p>
        </w:tc>
        <w:tc>
          <w:tcPr>
            <w:tcW w:w="1233"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67"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7"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gridAfter w:val="2"/>
          <w:wAfter w:w="2802" w:type="dxa"/>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299"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45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233"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167"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517"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332"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CellMar>
            <w:top w:w="0" w:type="dxa"/>
            <w:left w:w="108" w:type="dxa"/>
            <w:bottom w:w="0" w:type="dxa"/>
            <w:right w:w="108" w:type="dxa"/>
          </w:tblCellMar>
        </w:tblPrEx>
        <w:trPr>
          <w:gridAfter w:val="2"/>
          <w:wAfter w:w="2802" w:type="dxa"/>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9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3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2"/>
          <w:wAfter w:w="2802" w:type="dxa"/>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3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2"/>
          <w:wAfter w:w="2802" w:type="dxa"/>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3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2"/>
          <w:wAfter w:w="2802" w:type="dxa"/>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299"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5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33"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6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1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3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tblCellMar>
            <w:top w:w="0" w:type="dxa"/>
            <w:left w:w="108" w:type="dxa"/>
            <w:bottom w:w="0" w:type="dxa"/>
            <w:right w:w="108" w:type="dxa"/>
          </w:tblCellMar>
        </w:tblPrEx>
        <w:trPr>
          <w:gridAfter w:val="2"/>
          <w:wAfter w:w="2802" w:type="dxa"/>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992.18</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786.74</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205.44</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20508</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进修及培训</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2050803</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卫生健康支出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21011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行政事业单位医疗</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2101102</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事业单位医疗</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资源勘探开发</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2150199</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其他资源勘探业支出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自然资源海洋气象等支出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718.31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205.44</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自然资源事务</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718.31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205.44</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2200150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718.31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512.87</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205.44</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After w:val="2"/>
          <w:wAfter w:w="2802"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2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14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123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7540" w:type="dxa"/>
            <w:gridSpan w:val="13"/>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pPr>
        <w:jc w:val="center"/>
        <w:rPr>
          <w:rFonts w:ascii="黑体" w:hAnsi="黑体" w:eastAsia="黑体"/>
          <w:sz w:val="28"/>
          <w:szCs w:val="28"/>
        </w:rPr>
      </w:pPr>
    </w:p>
    <w:p>
      <w:pPr>
        <w:jc w:val="center"/>
        <w:rPr>
          <w:rFonts w:ascii="黑体" w:hAnsi="黑体" w:eastAsia="黑体"/>
          <w:sz w:val="28"/>
          <w:szCs w:val="28"/>
        </w:rPr>
      </w:pPr>
    </w:p>
    <w:tbl>
      <w:tblPr>
        <w:tblStyle w:val="5"/>
        <w:tblW w:w="15740" w:type="dxa"/>
        <w:tblInd w:w="91" w:type="dxa"/>
        <w:tblLayout w:type="autofit"/>
        <w:tblCellMar>
          <w:top w:w="0" w:type="dxa"/>
          <w:left w:w="108" w:type="dxa"/>
          <w:bottom w:w="0" w:type="dxa"/>
          <w:right w:w="108" w:type="dxa"/>
        </w:tblCellMar>
      </w:tblPr>
      <w:tblGrid>
        <w:gridCol w:w="340"/>
        <w:gridCol w:w="340"/>
        <w:gridCol w:w="340"/>
        <w:gridCol w:w="3920"/>
        <w:gridCol w:w="1800"/>
        <w:gridCol w:w="1800"/>
        <w:gridCol w:w="1800"/>
        <w:gridCol w:w="1800"/>
        <w:gridCol w:w="1800"/>
        <w:gridCol w:w="1800"/>
      </w:tblGrid>
      <w:tr>
        <w:tblPrEx>
          <w:tblCellMar>
            <w:top w:w="0" w:type="dxa"/>
            <w:left w:w="108" w:type="dxa"/>
            <w:bottom w:w="0" w:type="dxa"/>
            <w:right w:w="108" w:type="dxa"/>
          </w:tblCellMar>
        </w:tblPrEx>
        <w:trPr>
          <w:trHeight w:val="567" w:hRule="exact"/>
        </w:trPr>
        <w:tc>
          <w:tcPr>
            <w:tcW w:w="15740" w:type="dxa"/>
            <w:gridSpan w:val="10"/>
            <w:tcBorders>
              <w:top w:val="nil"/>
              <w:left w:val="nil"/>
              <w:bottom w:val="nil"/>
              <w:right w:val="single" w:color="808080" w:sz="4" w:space="0"/>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公开03表</w:t>
            </w:r>
          </w:p>
        </w:tc>
      </w:tr>
      <w:tr>
        <w:tblPrEx>
          <w:tblCellMar>
            <w:top w:w="0" w:type="dxa"/>
            <w:left w:w="108" w:type="dxa"/>
            <w:bottom w:w="0" w:type="dxa"/>
            <w:right w:w="108" w:type="dxa"/>
          </w:tblCellMar>
        </w:tblPrEx>
        <w:trPr>
          <w:trHeight w:val="300" w:hRule="atLeast"/>
        </w:trPr>
        <w:tc>
          <w:tcPr>
            <w:tcW w:w="4940" w:type="dxa"/>
            <w:gridSpan w:val="4"/>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1800"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2020年度</w:t>
            </w:r>
          </w:p>
        </w:tc>
        <w:tc>
          <w:tcPr>
            <w:tcW w:w="180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80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991.71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919.71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20508</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进修及培训</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2050803</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卫生健康支出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21011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行政事业单位医疗</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2101102</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事业单位医疗</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资源勘探开发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2150199</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其他资源勘探业支出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自然资源海洋气象等支出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自然资源事务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2200150</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717.84</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5740"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pPr>
        <w:jc w:val="center"/>
        <w:rPr>
          <w:rFonts w:ascii="黑体" w:hAnsi="黑体" w:eastAsia="黑体"/>
          <w:sz w:val="28"/>
          <w:szCs w:val="28"/>
        </w:rPr>
      </w:pPr>
    </w:p>
    <w:p>
      <w:pPr>
        <w:jc w:val="center"/>
        <w:rPr>
          <w:rFonts w:ascii="黑体" w:hAnsi="黑体" w:eastAsia="黑体"/>
          <w:sz w:val="28"/>
          <w:szCs w:val="28"/>
        </w:rPr>
        <w:sectPr>
          <w:pgSz w:w="16838" w:h="11906" w:orient="landscape"/>
          <w:pgMar w:top="720" w:right="720" w:bottom="720" w:left="720" w:header="851" w:footer="992" w:gutter="0"/>
          <w:cols w:space="425" w:num="1"/>
          <w:docGrid w:type="linesAndChars" w:linePitch="312" w:charSpace="0"/>
        </w:sectPr>
      </w:pPr>
    </w:p>
    <w:p>
      <w:pPr>
        <w:autoSpaceDE w:val="0"/>
        <w:autoSpaceDN w:val="0"/>
        <w:adjustRightInd w:val="0"/>
        <w:ind w:left="315" w:leftChars="150"/>
        <w:jc w:val="left"/>
        <w:rPr>
          <w:rFonts w:ascii="宋体" w:eastAsia="宋体" w:cs="宋体"/>
          <w:kern w:val="0"/>
          <w:sz w:val="24"/>
          <w:szCs w:val="24"/>
        </w:rPr>
      </w:pPr>
    </w:p>
    <w:tbl>
      <w:tblPr>
        <w:tblStyle w:val="5"/>
        <w:tblW w:w="18422" w:type="dxa"/>
        <w:tblInd w:w="91" w:type="dxa"/>
        <w:tblLayout w:type="fixed"/>
        <w:tblCellMar>
          <w:top w:w="0" w:type="dxa"/>
          <w:left w:w="108" w:type="dxa"/>
          <w:bottom w:w="0" w:type="dxa"/>
          <w:right w:w="108" w:type="dxa"/>
        </w:tblCellMar>
      </w:tblPr>
      <w:tblGrid>
        <w:gridCol w:w="340"/>
        <w:gridCol w:w="340"/>
        <w:gridCol w:w="60"/>
        <w:gridCol w:w="2332"/>
        <w:gridCol w:w="208"/>
        <w:gridCol w:w="580"/>
        <w:gridCol w:w="400"/>
        <w:gridCol w:w="729"/>
        <w:gridCol w:w="1071"/>
        <w:gridCol w:w="740"/>
        <w:gridCol w:w="400"/>
        <w:gridCol w:w="1449"/>
        <w:gridCol w:w="484"/>
        <w:gridCol w:w="327"/>
        <w:gridCol w:w="154"/>
        <w:gridCol w:w="1208"/>
        <w:gridCol w:w="111"/>
        <w:gridCol w:w="740"/>
        <w:gridCol w:w="47"/>
        <w:gridCol w:w="536"/>
        <w:gridCol w:w="1589"/>
        <w:gridCol w:w="135"/>
        <w:gridCol w:w="628"/>
        <w:gridCol w:w="597"/>
        <w:gridCol w:w="185"/>
        <w:gridCol w:w="60"/>
        <w:gridCol w:w="1555"/>
        <w:gridCol w:w="1417"/>
      </w:tblGrid>
      <w:tr>
        <w:tblPrEx>
          <w:tblCellMar>
            <w:top w:w="0" w:type="dxa"/>
            <w:left w:w="108" w:type="dxa"/>
            <w:bottom w:w="0" w:type="dxa"/>
            <w:right w:w="108" w:type="dxa"/>
          </w:tblCellMar>
        </w:tblPrEx>
        <w:trPr>
          <w:gridAfter w:val="1"/>
          <w:wAfter w:w="1417" w:type="dxa"/>
          <w:trHeight w:val="519" w:hRule="atLeast"/>
        </w:trPr>
        <w:tc>
          <w:tcPr>
            <w:tcW w:w="17005" w:type="dxa"/>
            <w:gridSpan w:val="27"/>
            <w:tcBorders>
              <w:top w:val="nil"/>
              <w:left w:val="nil"/>
              <w:bottom w:val="nil"/>
              <w:right w:val="single" w:color="808080" w:sz="4" w:space="0"/>
            </w:tcBorders>
            <w:shd w:val="clear" w:color="000000" w:fill="FFFFFF"/>
            <w:noWrap/>
            <w:vAlign w:val="center"/>
          </w:tcPr>
          <w:p>
            <w:pPr>
              <w:widowControl/>
              <w:jc w:val="center"/>
              <w:rPr>
                <w:rFonts w:ascii="宋体" w:hAnsi="宋体" w:eastAsia="宋体" w:cs="Arial"/>
                <w:kern w:val="0"/>
                <w:sz w:val="18"/>
                <w:szCs w:val="18"/>
              </w:rPr>
            </w:pPr>
            <w:r>
              <w:rPr>
                <w:rFonts w:ascii="黑体" w:hAnsi="黑体" w:eastAsia="黑体"/>
                <w:szCs w:val="21"/>
              </w:rPr>
              <w:br w:type="page"/>
            </w:r>
            <w:r>
              <w:rPr>
                <w:rFonts w:hint="eastAsia" w:ascii="黑体" w:hAnsi="黑体" w:eastAsia="黑体" w:cs="Arial"/>
                <w:color w:val="000000"/>
                <w:kern w:val="0"/>
                <w:sz w:val="30"/>
                <w:szCs w:val="30"/>
              </w:rPr>
              <w:t>财政拨款收入支出决算总表</w:t>
            </w:r>
          </w:p>
        </w:tc>
      </w:tr>
      <w:tr>
        <w:tblPrEx>
          <w:tblCellMar>
            <w:top w:w="0" w:type="dxa"/>
            <w:left w:w="108" w:type="dxa"/>
            <w:bottom w:w="0" w:type="dxa"/>
            <w:right w:w="108" w:type="dxa"/>
          </w:tblCellMar>
        </w:tblPrEx>
        <w:trPr>
          <w:gridAfter w:val="3"/>
          <w:wAfter w:w="3032" w:type="dxa"/>
          <w:trHeight w:val="300" w:hRule="atLeast"/>
        </w:trPr>
        <w:tc>
          <w:tcPr>
            <w:tcW w:w="3072" w:type="dxa"/>
            <w:gridSpan w:val="4"/>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29"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65"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0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公开04表</w:t>
            </w:r>
          </w:p>
        </w:tc>
      </w:tr>
      <w:tr>
        <w:tblPrEx>
          <w:tblCellMar>
            <w:top w:w="0" w:type="dxa"/>
            <w:left w:w="108" w:type="dxa"/>
            <w:bottom w:w="0" w:type="dxa"/>
            <w:right w:w="108" w:type="dxa"/>
          </w:tblCellMar>
        </w:tblPrEx>
        <w:trPr>
          <w:gridAfter w:val="3"/>
          <w:wAfter w:w="3032" w:type="dxa"/>
          <w:trHeight w:val="382" w:hRule="exact"/>
        </w:trPr>
        <w:tc>
          <w:tcPr>
            <w:tcW w:w="3072" w:type="dxa"/>
            <w:gridSpan w:val="4"/>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788"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29"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625" w:type="dxa"/>
            <w:gridSpan w:val="7"/>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kern w:val="0"/>
                <w:sz w:val="18"/>
                <w:szCs w:val="18"/>
              </w:rPr>
              <w:t>　</w:t>
            </w:r>
            <w:r>
              <w:rPr>
                <w:rFonts w:hint="eastAsia" w:ascii="宋体" w:hAnsi="宋体" w:eastAsia="宋体" w:cs="Arial"/>
                <w:color w:val="000000"/>
                <w:kern w:val="0"/>
                <w:sz w:val="22"/>
              </w:rPr>
              <w:t>2020年度</w:t>
            </w:r>
          </w:p>
        </w:tc>
        <w:tc>
          <w:tcPr>
            <w:tcW w:w="1208"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34" w:type="dxa"/>
            <w:gridSpan w:val="5"/>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gridAfter w:val="2"/>
          <w:wAfter w:w="2972" w:type="dxa"/>
          <w:trHeight w:val="300" w:hRule="atLeast"/>
        </w:trPr>
        <w:tc>
          <w:tcPr>
            <w:tcW w:w="4989" w:type="dxa"/>
            <w:gridSpan w:val="8"/>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10461" w:type="dxa"/>
            <w:gridSpan w:val="18"/>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CellMar>
            <w:top w:w="0" w:type="dxa"/>
            <w:left w:w="108" w:type="dxa"/>
            <w:bottom w:w="0" w:type="dxa"/>
            <w:right w:w="108" w:type="dxa"/>
          </w:tblCellMar>
        </w:tblPrEx>
        <w:trPr>
          <w:gridAfter w:val="3"/>
          <w:wAfter w:w="3032" w:type="dxa"/>
          <w:trHeight w:val="312" w:hRule="atLeast"/>
        </w:trPr>
        <w:tc>
          <w:tcPr>
            <w:tcW w:w="3072" w:type="dxa"/>
            <w:gridSpan w:val="4"/>
            <w:vMerge w:val="restart"/>
            <w:tcBorders>
              <w:top w:val="nil"/>
              <w:left w:val="single" w:color="000000" w:sz="4" w:space="0"/>
              <w:bottom w:val="single" w:color="000000" w:sz="4" w:space="0"/>
              <w:right w:val="single" w:color="000000" w:sz="4" w:space="0"/>
            </w:tcBorders>
            <w:shd w:val="clear" w:color="000000" w:fill="FFFFFF"/>
            <w:vAlign w:val="center"/>
          </w:tcPr>
          <w:p>
            <w:pPr>
              <w:widowControl/>
              <w:spacing w:line="200" w:lineRule="exact"/>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88" w:type="dxa"/>
            <w:gridSpan w:val="2"/>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129" w:type="dxa"/>
            <w:gridSpan w:val="2"/>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660" w:type="dxa"/>
            <w:gridSpan w:val="4"/>
            <w:vMerge w:val="restart"/>
            <w:tcBorders>
              <w:top w:val="nil"/>
              <w:left w:val="nil"/>
              <w:bottom w:val="single" w:color="000000" w:sz="4" w:space="0"/>
              <w:right w:val="single" w:color="000000" w:sz="4" w:space="0"/>
            </w:tcBorders>
            <w:shd w:val="clear" w:color="000000" w:fill="FFFFFF"/>
            <w:vAlign w:val="bottom"/>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项目</w:t>
            </w:r>
          </w:p>
        </w:tc>
        <w:tc>
          <w:tcPr>
            <w:tcW w:w="965" w:type="dxa"/>
            <w:gridSpan w:val="3"/>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208" w:type="dxa"/>
            <w:vMerge w:val="restart"/>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34" w:type="dxa"/>
            <w:gridSpan w:val="4"/>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589" w:type="dxa"/>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545" w:type="dxa"/>
            <w:gridSpan w:val="4"/>
            <w:vMerge w:val="restart"/>
            <w:tcBorders>
              <w:top w:val="nil"/>
              <w:left w:val="nil"/>
              <w:bottom w:val="single" w:color="000000" w:sz="4" w:space="0"/>
              <w:right w:val="single" w:color="000000" w:sz="4" w:space="0"/>
            </w:tcBorders>
            <w:shd w:val="clear" w:color="000000" w:fill="FFFFFF"/>
            <w:vAlign w:val="center"/>
          </w:tcPr>
          <w:p>
            <w:pPr>
              <w:widowControl/>
              <w:spacing w:line="200" w:lineRule="exact"/>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tblPrEx>
          <w:tblCellMar>
            <w:top w:w="0" w:type="dxa"/>
            <w:left w:w="108" w:type="dxa"/>
            <w:bottom w:w="0" w:type="dxa"/>
            <w:right w:w="108" w:type="dxa"/>
          </w:tblCellMar>
        </w:tblPrEx>
        <w:trPr>
          <w:gridAfter w:val="3"/>
          <w:wAfter w:w="3032" w:type="dxa"/>
          <w:trHeight w:val="312" w:hRule="atLeast"/>
        </w:trPr>
        <w:tc>
          <w:tcPr>
            <w:tcW w:w="3072"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2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6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6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0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34"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8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4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栏次</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w:t>
            </w:r>
          </w:p>
        </w:tc>
        <w:tc>
          <w:tcPr>
            <w:tcW w:w="3660" w:type="dxa"/>
            <w:gridSpan w:val="4"/>
            <w:tcBorders>
              <w:top w:val="nil"/>
              <w:left w:val="nil"/>
              <w:bottom w:val="single" w:color="000000" w:sz="4" w:space="0"/>
              <w:right w:val="single" w:color="000000" w:sz="4" w:space="0"/>
            </w:tcBorders>
            <w:shd w:val="clear" w:color="000000" w:fill="FFFFFF"/>
            <w:noWrap/>
            <w:vAlign w:val="bottom"/>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栏次</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一、一般公共预算财政拨款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一、一般公共服务支出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33</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二、政府性基金预算财政拨款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二、外交支出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34</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三、国有资本经营财政拨款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三、国防支出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35</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四、公共安全支出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36</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五、教育支出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37</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0.90</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0.90</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六、科学技术支出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38</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7</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七、文化旅游体育与传媒支出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39</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8</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八、社会保障和就业支出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40</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98.73</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98.73</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9</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九、卫生健康支出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41</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48.63</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48.63</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10</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十、节能环保支出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42</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11</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十一、城乡社区支出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43</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12</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十二、农林水支出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44</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13</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十三、交通运输支出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45</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14</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十四、资源勘探工业信息等支出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46</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72.00</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72.00</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15</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十五、商业服务业等支出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47</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16</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十六、金融支出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48</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17</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十七、援助其他地区支出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49</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18</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十八、自然资源海洋气象等支出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50</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512.87</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512.87</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19</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十九、住房保障支出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51</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53.61</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53.61</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20</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二十、粮油物资储备支出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52</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21</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二十一、国有资本经营预算支出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53</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22</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二十二、灾害防治及应急管理支出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54</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23</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二十三、其他支出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55</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b/>
                <w:bCs/>
                <w:kern w:val="0"/>
                <w:sz w:val="18"/>
                <w:szCs w:val="18"/>
              </w:rPr>
            </w:pPr>
            <w:r>
              <w:rPr>
                <w:rFonts w:hint="eastAsia" w:ascii="宋体" w:hAnsi="宋体" w:eastAsia="宋体" w:cs="Arial"/>
                <w:b/>
                <w:bCs/>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24</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二十四、债务还本支出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56</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25</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二十五、债务付息支出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57</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26</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二十六、抗疫特别国债安排的支出</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58</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b/>
                <w:bCs/>
                <w:kern w:val="0"/>
                <w:sz w:val="18"/>
                <w:szCs w:val="18"/>
              </w:rPr>
            </w:pPr>
            <w:r>
              <w:rPr>
                <w:rFonts w:hint="eastAsia" w:ascii="宋体" w:hAnsi="宋体" w:eastAsia="宋体" w:cs="Arial"/>
                <w:b/>
                <w:bCs/>
                <w:kern w:val="0"/>
                <w:sz w:val="18"/>
                <w:szCs w:val="18"/>
              </w:rPr>
              <w:t>本年收入合计</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27</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b/>
                <w:bCs/>
                <w:kern w:val="0"/>
                <w:sz w:val="18"/>
                <w:szCs w:val="18"/>
              </w:rPr>
            </w:pPr>
            <w:r>
              <w:rPr>
                <w:rFonts w:hint="eastAsia" w:ascii="宋体" w:hAnsi="宋体" w:eastAsia="宋体" w:cs="Arial"/>
                <w:b/>
                <w:bCs/>
                <w:kern w:val="0"/>
                <w:sz w:val="18"/>
                <w:szCs w:val="18"/>
              </w:rPr>
              <w:t>本年支出合计</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59</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年初财政拨款结转和结余</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28</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年末财政拨款结转和结余</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60</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xml:space="preserve">  一般公共预算财政拨款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29</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61</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xml:space="preserve">  政府性基金预算财政拨款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30</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62</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xml:space="preserve">  国有资本经营预算财政拨款</w:t>
            </w:r>
          </w:p>
        </w:tc>
        <w:tc>
          <w:tcPr>
            <w:tcW w:w="788"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31</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63</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3"/>
          <w:wAfter w:w="3032" w:type="dxa"/>
          <w:trHeight w:val="227" w:hRule="exact"/>
        </w:trPr>
        <w:tc>
          <w:tcPr>
            <w:tcW w:w="3072"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b/>
                <w:bCs/>
                <w:kern w:val="0"/>
                <w:sz w:val="18"/>
                <w:szCs w:val="18"/>
              </w:rPr>
            </w:pPr>
            <w:r>
              <w:rPr>
                <w:rFonts w:hint="eastAsia" w:ascii="宋体" w:hAnsi="宋体" w:eastAsia="宋体" w:cs="Arial"/>
                <w:b/>
                <w:bCs/>
                <w:kern w:val="0"/>
                <w:sz w:val="18"/>
                <w:szCs w:val="18"/>
              </w:rPr>
              <w:t>总计</w:t>
            </w:r>
          </w:p>
        </w:tc>
        <w:tc>
          <w:tcPr>
            <w:tcW w:w="788" w:type="dxa"/>
            <w:gridSpan w:val="2"/>
            <w:tcBorders>
              <w:top w:val="nil"/>
              <w:left w:val="nil"/>
              <w:bottom w:val="single" w:color="000000" w:sz="12"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32</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3660"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left"/>
              <w:rPr>
                <w:rFonts w:ascii="宋体" w:hAnsi="宋体" w:eastAsia="宋体" w:cs="Arial"/>
                <w:b/>
                <w:bCs/>
                <w:kern w:val="0"/>
                <w:sz w:val="18"/>
                <w:szCs w:val="18"/>
              </w:rPr>
            </w:pPr>
            <w:r>
              <w:rPr>
                <w:rFonts w:hint="eastAsia" w:ascii="宋体" w:hAnsi="宋体" w:eastAsia="宋体" w:cs="Arial"/>
                <w:b/>
                <w:bCs/>
                <w:kern w:val="0"/>
                <w:sz w:val="18"/>
                <w:szCs w:val="18"/>
              </w:rPr>
              <w:t>总计</w:t>
            </w:r>
          </w:p>
        </w:tc>
        <w:tc>
          <w:tcPr>
            <w:tcW w:w="965" w:type="dxa"/>
            <w:gridSpan w:val="3"/>
            <w:tcBorders>
              <w:top w:val="nil"/>
              <w:left w:val="nil"/>
              <w:bottom w:val="single" w:color="000000" w:sz="4" w:space="0"/>
              <w:right w:val="single" w:color="000000" w:sz="4" w:space="0"/>
            </w:tcBorders>
            <w:shd w:val="clear" w:color="000000" w:fill="FFFFFF"/>
            <w:noWrap/>
            <w:vAlign w:val="center"/>
          </w:tcPr>
          <w:p>
            <w:pPr>
              <w:widowControl/>
              <w:spacing w:line="200" w:lineRule="exact"/>
              <w:jc w:val="center"/>
              <w:rPr>
                <w:rFonts w:ascii="宋体" w:hAnsi="宋体" w:eastAsia="宋体" w:cs="Arial"/>
                <w:kern w:val="0"/>
                <w:sz w:val="18"/>
                <w:szCs w:val="18"/>
              </w:rPr>
            </w:pPr>
            <w:r>
              <w:rPr>
                <w:rFonts w:hint="eastAsia" w:ascii="宋体" w:hAnsi="宋体" w:eastAsia="宋体" w:cs="Arial"/>
                <w:kern w:val="0"/>
                <w:sz w:val="18"/>
                <w:szCs w:val="18"/>
              </w:rPr>
              <w:t>64</w:t>
            </w:r>
          </w:p>
        </w:tc>
        <w:tc>
          <w:tcPr>
            <w:tcW w:w="1208"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1434"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786.74</w:t>
            </w:r>
          </w:p>
        </w:tc>
        <w:tc>
          <w:tcPr>
            <w:tcW w:w="1589" w:type="dxa"/>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c>
          <w:tcPr>
            <w:tcW w:w="1545" w:type="dxa"/>
            <w:gridSpan w:val="4"/>
            <w:tcBorders>
              <w:top w:val="nil"/>
              <w:left w:val="nil"/>
              <w:bottom w:val="single" w:color="000000" w:sz="4" w:space="0"/>
              <w:right w:val="single" w:color="000000" w:sz="4" w:space="0"/>
            </w:tcBorders>
            <w:shd w:val="clear" w:color="000000" w:fill="FFFFFF"/>
            <w:noWrap/>
            <w:vAlign w:val="center"/>
          </w:tcPr>
          <w:p>
            <w:pPr>
              <w:widowControl/>
              <w:spacing w:line="200" w:lineRule="exact"/>
              <w:jc w:val="righ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1"/>
          <w:wAfter w:w="1417" w:type="dxa"/>
          <w:trHeight w:val="300" w:hRule="atLeast"/>
        </w:trPr>
        <w:tc>
          <w:tcPr>
            <w:tcW w:w="15205" w:type="dxa"/>
            <w:gridSpan w:val="24"/>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80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1386" w:hRule="atLeast"/>
        </w:trPr>
        <w:tc>
          <w:tcPr>
            <w:tcW w:w="13980" w:type="dxa"/>
            <w:gridSpan w:val="22"/>
            <w:tcBorders>
              <w:top w:val="nil"/>
              <w:left w:val="nil"/>
              <w:bottom w:val="nil"/>
              <w:right w:val="single" w:color="808080" w:sz="4" w:space="0"/>
            </w:tcBorders>
            <w:shd w:val="clear" w:color="000000" w:fill="FFFFFF"/>
            <w:noWrap/>
            <w:vAlign w:val="center"/>
          </w:tcPr>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p>
        </w:tc>
      </w:tr>
      <w:tr>
        <w:tblPrEx>
          <w:tblCellMar>
            <w:top w:w="0" w:type="dxa"/>
            <w:left w:w="108" w:type="dxa"/>
            <w:bottom w:w="0" w:type="dxa"/>
            <w:right w:w="108" w:type="dxa"/>
          </w:tblCellMar>
        </w:tblPrEx>
        <w:trPr>
          <w:gridAfter w:val="6"/>
          <w:wAfter w:w="4440" w:type="dxa"/>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0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gridSpan w:val="6"/>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5"/>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3"/>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公开05表</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3920" w:type="dxa"/>
            <w:gridSpan w:val="6"/>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2020年度</w:t>
            </w:r>
          </w:p>
        </w:tc>
        <w:tc>
          <w:tcPr>
            <w:tcW w:w="2260" w:type="dxa"/>
            <w:gridSpan w:val="3"/>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5"/>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gridSpan w:val="3"/>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gridAfter w:val="6"/>
          <w:wAfter w:w="4440" w:type="dxa"/>
          <w:trHeight w:val="300" w:hRule="atLeast"/>
        </w:trPr>
        <w:tc>
          <w:tcPr>
            <w:tcW w:w="7200" w:type="dxa"/>
            <w:gridSpan w:val="11"/>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80" w:type="dxa"/>
            <w:gridSpan w:val="11"/>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gridAfter w:val="6"/>
          <w:wAfter w:w="4440" w:type="dxa"/>
          <w:trHeight w:val="312" w:hRule="atLeast"/>
        </w:trPr>
        <w:tc>
          <w:tcPr>
            <w:tcW w:w="3280" w:type="dxa"/>
            <w:gridSpan w:val="5"/>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gridSpan w:val="6"/>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60" w:type="dxa"/>
            <w:gridSpan w:val="3"/>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260" w:type="dxa"/>
            <w:gridSpan w:val="5"/>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60" w:type="dxa"/>
            <w:gridSpan w:val="3"/>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gridAfter w:val="6"/>
          <w:wAfter w:w="4440" w:type="dxa"/>
          <w:trHeight w:val="312" w:hRule="atLeast"/>
        </w:trPr>
        <w:tc>
          <w:tcPr>
            <w:tcW w:w="3280"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6"/>
          <w:wAfter w:w="4440" w:type="dxa"/>
          <w:trHeight w:val="312" w:hRule="atLeast"/>
        </w:trPr>
        <w:tc>
          <w:tcPr>
            <w:tcW w:w="3280"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6"/>
          <w:wAfter w:w="4440" w:type="dxa"/>
          <w:trHeight w:val="300" w:hRule="atLeast"/>
        </w:trPr>
        <w:tc>
          <w:tcPr>
            <w:tcW w:w="7200" w:type="dxa"/>
            <w:gridSpan w:val="11"/>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gridAfter w:val="6"/>
          <w:wAfter w:w="4440" w:type="dxa"/>
          <w:trHeight w:val="300" w:hRule="atLeast"/>
        </w:trPr>
        <w:tc>
          <w:tcPr>
            <w:tcW w:w="7200" w:type="dxa"/>
            <w:gridSpan w:val="11"/>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786.74</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714.74</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20508</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进修及培训</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0.90</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2050803</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98.73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98.73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卫生健康支出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21011</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行政事业单位医疗</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48.63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2101102</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事业单位医疗</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48.63</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21501</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资源勘探开发</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72.00</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2150199</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其他资源勘探业支出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72.00</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自然资源海洋气象等支出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22001</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自然资源事务</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512.87</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2200150</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512.87</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512.87</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53.61</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3280" w:type="dxa"/>
            <w:gridSpan w:val="5"/>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3920" w:type="dxa"/>
            <w:gridSpan w:val="6"/>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2260" w:type="dxa"/>
            <w:gridSpan w:val="5"/>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53.61</w:t>
            </w:r>
          </w:p>
        </w:tc>
        <w:tc>
          <w:tcPr>
            <w:tcW w:w="226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6"/>
          <w:wAfter w:w="4440" w:type="dxa"/>
          <w:trHeight w:val="300" w:hRule="atLeast"/>
        </w:trPr>
        <w:tc>
          <w:tcPr>
            <w:tcW w:w="13980" w:type="dxa"/>
            <w:gridSpan w:val="22"/>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r>
        <w:tblPrEx>
          <w:tblCellMar>
            <w:top w:w="0" w:type="dxa"/>
            <w:left w:w="108" w:type="dxa"/>
            <w:bottom w:w="0" w:type="dxa"/>
            <w:right w:w="108" w:type="dxa"/>
          </w:tblCellMar>
        </w:tblPrEx>
        <w:trPr>
          <w:gridAfter w:val="2"/>
          <w:wAfter w:w="2972" w:type="dxa"/>
          <w:trHeight w:val="375" w:hRule="atLeast"/>
        </w:trPr>
        <w:tc>
          <w:tcPr>
            <w:tcW w:w="14608" w:type="dxa"/>
            <w:gridSpan w:val="23"/>
            <w:tcBorders>
              <w:top w:val="nil"/>
              <w:left w:val="nil"/>
              <w:bottom w:val="nil"/>
              <w:right w:val="nil"/>
            </w:tcBorders>
            <w:shd w:val="clear" w:color="000000" w:fill="FFFFFF"/>
            <w:noWrap/>
            <w:vAlign w:val="center"/>
          </w:tcPr>
          <w:p>
            <w:pPr>
              <w:widowControl/>
              <w:jc w:val="left"/>
              <w:rPr>
                <w:rFonts w:ascii="宋体" w:hAnsi="宋体" w:eastAsia="宋体" w:cs="Arial"/>
                <w:kern w:val="0"/>
                <w:sz w:val="22"/>
              </w:rPr>
            </w:pPr>
            <w:r>
              <w:rPr>
                <w:rFonts w:hint="eastAsia" w:ascii="宋体" w:hAnsi="宋体" w:eastAsia="宋体" w:cs="Arial"/>
                <w:kern w:val="0"/>
                <w:sz w:val="22"/>
              </w:rPr>
              <w:t>　</w:t>
            </w:r>
          </w:p>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一般公共预算财政拨款基本支出决算表</w:t>
            </w:r>
          </w:p>
        </w:tc>
        <w:tc>
          <w:tcPr>
            <w:tcW w:w="840" w:type="dxa"/>
            <w:gridSpan w:val="3"/>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2"/>
          <w:wAfter w:w="2972" w:type="dxa"/>
          <w:trHeight w:val="210" w:hRule="exact"/>
        </w:trPr>
        <w:tc>
          <w:tcPr>
            <w:tcW w:w="740" w:type="dxa"/>
            <w:gridSpan w:val="3"/>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520" w:type="dxa"/>
            <w:gridSpan w:val="4"/>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gridSpan w:val="2"/>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33" w:type="dxa"/>
            <w:gridSpan w:val="3"/>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gridSpan w:val="4"/>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75" w:type="dxa"/>
            <w:gridSpan w:val="8"/>
            <w:tcBorders>
              <w:top w:val="nil"/>
              <w:left w:val="nil"/>
              <w:bottom w:val="nil"/>
              <w:right w:val="single" w:color="808080" w:sz="4" w:space="0"/>
            </w:tcBorders>
            <w:shd w:val="clear" w:color="000000" w:fill="FFFFFF"/>
            <w:noWrap/>
            <w:vAlign w:val="center"/>
          </w:tcPr>
          <w:p>
            <w:pPr>
              <w:widowControl/>
              <w:snapToGrid w:val="0"/>
              <w:spacing w:line="192" w:lineRule="auto"/>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CellMar>
            <w:top w:w="0" w:type="dxa"/>
            <w:left w:w="108" w:type="dxa"/>
            <w:bottom w:w="0" w:type="dxa"/>
            <w:right w:w="108" w:type="dxa"/>
          </w:tblCellMar>
        </w:tblPrEx>
        <w:trPr>
          <w:gridAfter w:val="2"/>
          <w:wAfter w:w="2972" w:type="dxa"/>
          <w:trHeight w:val="270" w:hRule="exact"/>
        </w:trPr>
        <w:tc>
          <w:tcPr>
            <w:tcW w:w="4260" w:type="dxa"/>
            <w:gridSpan w:val="7"/>
            <w:tcBorders>
              <w:top w:val="nil"/>
              <w:left w:val="nil"/>
              <w:bottom w:val="single" w:color="808080" w:sz="4" w:space="0"/>
              <w:right w:val="nil"/>
            </w:tcBorders>
            <w:shd w:val="clear" w:color="000000" w:fill="FFFFFF"/>
            <w:noWrap/>
            <w:vAlign w:val="center"/>
          </w:tcPr>
          <w:p>
            <w:pPr>
              <w:widowControl/>
              <w:snapToGrid w:val="0"/>
              <w:spacing w:line="192" w:lineRule="auto"/>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部门：湖南省有色地质医院</w:t>
            </w:r>
          </w:p>
        </w:tc>
        <w:tc>
          <w:tcPr>
            <w:tcW w:w="1800" w:type="dxa"/>
            <w:gridSpan w:val="2"/>
            <w:tcBorders>
              <w:top w:val="nil"/>
              <w:left w:val="nil"/>
              <w:bottom w:val="single" w:color="808080" w:sz="4" w:space="0"/>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808080" w:sz="4" w:space="0"/>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33" w:type="dxa"/>
            <w:gridSpan w:val="3"/>
            <w:tcBorders>
              <w:top w:val="nil"/>
              <w:left w:val="nil"/>
              <w:bottom w:val="single" w:color="808080" w:sz="4" w:space="0"/>
              <w:right w:val="nil"/>
            </w:tcBorders>
            <w:shd w:val="clear" w:color="000000" w:fill="FFFFFF"/>
            <w:noWrap/>
            <w:vAlign w:val="center"/>
          </w:tcPr>
          <w:p>
            <w:pPr>
              <w:widowControl/>
              <w:snapToGrid w:val="0"/>
              <w:spacing w:line="192" w:lineRule="auto"/>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800" w:type="dxa"/>
            <w:gridSpan w:val="4"/>
            <w:tcBorders>
              <w:top w:val="nil"/>
              <w:left w:val="nil"/>
              <w:bottom w:val="single" w:color="808080" w:sz="4" w:space="0"/>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808080" w:sz="4" w:space="0"/>
              <w:right w:val="nil"/>
            </w:tcBorders>
            <w:shd w:val="clear" w:color="000000" w:fill="FFFFFF"/>
            <w:noWrap/>
            <w:vAlign w:val="center"/>
          </w:tcPr>
          <w:p>
            <w:pPr>
              <w:widowControl/>
              <w:snapToGrid w:val="0"/>
              <w:spacing w:line="192" w:lineRule="auto"/>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75" w:type="dxa"/>
            <w:gridSpan w:val="8"/>
            <w:tcBorders>
              <w:top w:val="nil"/>
              <w:left w:val="nil"/>
              <w:bottom w:val="single" w:color="808080" w:sz="4" w:space="0"/>
              <w:right w:val="single" w:color="808080" w:sz="4" w:space="0"/>
            </w:tcBorders>
            <w:shd w:val="clear" w:color="000000" w:fill="FFFFFF"/>
            <w:noWrap/>
            <w:vAlign w:val="center"/>
          </w:tcPr>
          <w:p>
            <w:pPr>
              <w:widowControl/>
              <w:snapToGrid w:val="0"/>
              <w:spacing w:line="192" w:lineRule="auto"/>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CellMar>
            <w:top w:w="0" w:type="dxa"/>
            <w:left w:w="108" w:type="dxa"/>
            <w:bottom w:w="0" w:type="dxa"/>
            <w:right w:w="108" w:type="dxa"/>
          </w:tblCellMar>
        </w:tblPrEx>
        <w:trPr>
          <w:trHeight w:val="210" w:hRule="atLeast"/>
        </w:trPr>
        <w:tc>
          <w:tcPr>
            <w:tcW w:w="6060" w:type="dxa"/>
            <w:gridSpan w:val="9"/>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12360" w:type="dxa"/>
            <w:gridSpan w:val="19"/>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gridAfter w:val="2"/>
          <w:wAfter w:w="2972" w:type="dxa"/>
          <w:trHeight w:val="312" w:hRule="atLeast"/>
        </w:trPr>
        <w:tc>
          <w:tcPr>
            <w:tcW w:w="740" w:type="dxa"/>
            <w:gridSpan w:val="3"/>
            <w:vMerge w:val="restart"/>
            <w:tcBorders>
              <w:top w:val="nil"/>
              <w:left w:val="single" w:color="000000" w:sz="4" w:space="0"/>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520" w:type="dxa"/>
            <w:gridSpan w:val="4"/>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gridSpan w:val="2"/>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333" w:type="dxa"/>
            <w:gridSpan w:val="3"/>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gridSpan w:val="4"/>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935" w:type="dxa"/>
            <w:gridSpan w:val="5"/>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40" w:type="dxa"/>
            <w:gridSpan w:val="3"/>
            <w:vMerge w:val="restart"/>
            <w:tcBorders>
              <w:top w:val="nil"/>
              <w:left w:val="nil"/>
              <w:bottom w:val="single" w:color="000000" w:sz="4" w:space="0"/>
              <w:right w:val="single" w:color="000000" w:sz="4" w:space="0"/>
            </w:tcBorders>
            <w:shd w:val="clear" w:color="000000" w:fill="FFFFFF"/>
            <w:vAlign w:val="center"/>
          </w:tcPr>
          <w:p>
            <w:pPr>
              <w:widowControl/>
              <w:snapToGrid w:val="0"/>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After w:val="2"/>
          <w:wAfter w:w="2972" w:type="dxa"/>
          <w:trHeight w:val="312" w:hRule="atLeast"/>
        </w:trPr>
        <w:tc>
          <w:tcPr>
            <w:tcW w:w="7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2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33"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935"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4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533.17</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39.50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173.72</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4.41</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22.77</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163.26</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76.33</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0.83</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36.07</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6.66</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2.50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54.35</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0.33</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142.07</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14.44</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98.22</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5.90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1.70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6.00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4.90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snapToGrid w:val="0"/>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42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7.87</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13.02</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1.40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7.94</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2"/>
          <w:wAfter w:w="2972" w:type="dxa"/>
          <w:trHeight w:val="283" w:hRule="exact"/>
        </w:trPr>
        <w:tc>
          <w:tcPr>
            <w:tcW w:w="7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52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333" w:type="dxa"/>
            <w:gridSpan w:val="3"/>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800" w:type="dxa"/>
            <w:gridSpan w:val="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6.31</w:t>
            </w:r>
          </w:p>
        </w:tc>
        <w:tc>
          <w:tcPr>
            <w:tcW w:w="740" w:type="dxa"/>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935" w:type="dxa"/>
            <w:gridSpan w:val="5"/>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After w:val="2"/>
          <w:wAfter w:w="2972" w:type="dxa"/>
          <w:trHeight w:val="283" w:hRule="exact"/>
        </w:trPr>
        <w:tc>
          <w:tcPr>
            <w:tcW w:w="4260" w:type="dxa"/>
            <w:gridSpan w:val="7"/>
            <w:tcBorders>
              <w:top w:val="nil"/>
              <w:left w:val="single" w:color="000000" w:sz="4" w:space="0"/>
              <w:bottom w:val="single" w:color="000000" w:sz="4" w:space="0"/>
              <w:right w:val="single" w:color="000000" w:sz="4" w:space="0"/>
            </w:tcBorders>
            <w:shd w:val="clear" w:color="000000" w:fill="FFFFFF"/>
            <w:noWrap/>
            <w:vAlign w:val="center"/>
          </w:tcPr>
          <w:p>
            <w:pPr>
              <w:widowControl/>
              <w:snapToGrid w:val="0"/>
              <w:spacing w:line="192" w:lineRule="auto"/>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800" w:type="dxa"/>
            <w:gridSpan w:val="2"/>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right"/>
              <w:rPr>
                <w:rFonts w:ascii="宋体" w:hAnsi="宋体" w:eastAsia="宋体" w:cs="Arial"/>
                <w:kern w:val="0"/>
                <w:sz w:val="20"/>
                <w:szCs w:val="20"/>
              </w:rPr>
            </w:pPr>
            <w:r>
              <w:rPr>
                <w:rFonts w:hint="eastAsia" w:ascii="宋体" w:hAnsi="宋体" w:eastAsia="宋体" w:cs="Arial"/>
                <w:kern w:val="0"/>
                <w:sz w:val="20"/>
                <w:szCs w:val="20"/>
              </w:rPr>
              <w:t>675.24</w:t>
            </w:r>
          </w:p>
        </w:tc>
        <w:tc>
          <w:tcPr>
            <w:tcW w:w="8548" w:type="dxa"/>
            <w:gridSpan w:val="14"/>
            <w:tcBorders>
              <w:top w:val="nil"/>
              <w:left w:val="nil"/>
              <w:bottom w:val="single" w:color="000000" w:sz="4" w:space="0"/>
              <w:right w:val="single" w:color="000000" w:sz="4" w:space="0"/>
            </w:tcBorders>
            <w:shd w:val="clear" w:color="000000" w:fill="FFFFFF"/>
            <w:noWrap/>
            <w:vAlign w:val="center"/>
          </w:tcPr>
          <w:p>
            <w:pPr>
              <w:widowControl/>
              <w:snapToGrid w:val="0"/>
              <w:spacing w:line="192" w:lineRule="auto"/>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84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39.50</w:t>
            </w:r>
          </w:p>
        </w:tc>
      </w:tr>
      <w:tr>
        <w:tblPrEx>
          <w:tblCellMar>
            <w:top w:w="0" w:type="dxa"/>
            <w:left w:w="108" w:type="dxa"/>
            <w:bottom w:w="0" w:type="dxa"/>
            <w:right w:w="108" w:type="dxa"/>
          </w:tblCellMar>
        </w:tblPrEx>
        <w:trPr>
          <w:trHeight w:val="300" w:hRule="atLeast"/>
        </w:trPr>
        <w:tc>
          <w:tcPr>
            <w:tcW w:w="18420" w:type="dxa"/>
            <w:gridSpan w:val="28"/>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pPr>
        <w:pStyle w:val="9"/>
        <w:rPr>
          <w:sz w:val="72"/>
          <w:szCs w:val="72"/>
        </w:rPr>
      </w:pPr>
    </w:p>
    <w:tbl>
      <w:tblPr>
        <w:tblStyle w:val="5"/>
        <w:tblW w:w="15579" w:type="dxa"/>
        <w:tblInd w:w="93" w:type="dxa"/>
        <w:tblLayout w:type="autofit"/>
        <w:tblCellMar>
          <w:top w:w="0" w:type="dxa"/>
          <w:left w:w="108" w:type="dxa"/>
          <w:bottom w:w="0" w:type="dxa"/>
          <w:right w:w="108" w:type="dxa"/>
        </w:tblCellMar>
      </w:tblPr>
      <w:tblGrid>
        <w:gridCol w:w="1224"/>
        <w:gridCol w:w="1224"/>
        <w:gridCol w:w="1224"/>
        <w:gridCol w:w="1224"/>
        <w:gridCol w:w="1224"/>
        <w:gridCol w:w="1971"/>
        <w:gridCol w:w="1224"/>
        <w:gridCol w:w="1224"/>
        <w:gridCol w:w="1224"/>
        <w:gridCol w:w="1224"/>
        <w:gridCol w:w="1238"/>
        <w:gridCol w:w="1354"/>
      </w:tblGrid>
      <w:tr>
        <w:tblPrEx>
          <w:tblCellMar>
            <w:top w:w="0" w:type="dxa"/>
            <w:left w:w="108" w:type="dxa"/>
            <w:bottom w:w="0" w:type="dxa"/>
            <w:right w:w="108" w:type="dxa"/>
          </w:tblCellMar>
        </w:tblPrEx>
        <w:trPr>
          <w:trHeight w:val="887" w:hRule="atLeast"/>
        </w:trPr>
        <w:tc>
          <w:tcPr>
            <w:tcW w:w="14225"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center"/>
              <w:rPr>
                <w:rFonts w:ascii="宋体" w:hAnsi="宋体" w:eastAsia="宋体" w:cs="Arial"/>
                <w:kern w:val="0"/>
                <w:sz w:val="18"/>
                <w:szCs w:val="18"/>
              </w:rPr>
            </w:pPr>
            <w:r>
              <w:rPr>
                <w:rFonts w:hint="eastAsia" w:ascii="黑体" w:hAnsi="黑体" w:eastAsia="黑体" w:cs="Arial"/>
                <w:kern w:val="0"/>
                <w:sz w:val="44"/>
                <w:szCs w:val="44"/>
              </w:rPr>
              <w:t>一般公共预算财政拨款“三公”经费支出决算表</w:t>
            </w:r>
            <w:r>
              <w:rPr>
                <w:rFonts w:hint="eastAsia" w:ascii="宋体" w:hAnsi="宋体" w:eastAsia="宋体" w:cs="Arial"/>
                <w:kern w:val="0"/>
                <w:sz w:val="18"/>
                <w:szCs w:val="18"/>
              </w:rPr>
              <w:t>　　</w:t>
            </w:r>
          </w:p>
        </w:tc>
        <w:tc>
          <w:tcPr>
            <w:tcW w:w="1354" w:type="dxa"/>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296" w:hRule="atLeast"/>
        </w:trPr>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rPr>
            </w:pPr>
            <w:r>
              <w:rPr>
                <w:rFonts w:hint="eastAsia" w:ascii="宋体" w:hAnsi="宋体" w:eastAsia="宋体" w:cs="Arial"/>
                <w:kern w:val="0"/>
                <w:sz w:val="22"/>
              </w:rPr>
              <w:t>预算代码：</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7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4" w:type="dxa"/>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kern w:val="0"/>
                <w:sz w:val="22"/>
              </w:rPr>
            </w:pPr>
            <w:r>
              <w:rPr>
                <w:rFonts w:hint="eastAsia" w:ascii="宋体" w:hAnsi="宋体" w:eastAsia="宋体" w:cs="Arial"/>
                <w:kern w:val="0"/>
                <w:sz w:val="22"/>
              </w:rPr>
              <w:t>公开07表</w:t>
            </w:r>
          </w:p>
        </w:tc>
      </w:tr>
      <w:tr>
        <w:tblPrEx>
          <w:tblCellMar>
            <w:top w:w="0" w:type="dxa"/>
            <w:left w:w="108" w:type="dxa"/>
            <w:bottom w:w="0" w:type="dxa"/>
            <w:right w:w="108" w:type="dxa"/>
          </w:tblCellMar>
        </w:tblPrEx>
        <w:trPr>
          <w:trHeight w:val="591" w:hRule="atLeast"/>
        </w:trPr>
        <w:tc>
          <w:tcPr>
            <w:tcW w:w="2448" w:type="dxa"/>
            <w:gridSpan w:val="2"/>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22"/>
              </w:rPr>
            </w:pPr>
            <w:r>
              <w:rPr>
                <w:rFonts w:hint="eastAsia" w:ascii="宋体" w:hAnsi="宋体" w:eastAsia="宋体" w:cs="Arial"/>
                <w:kern w:val="0"/>
                <w:sz w:val="22"/>
              </w:rPr>
              <w:t>部门：湖南省有色地质医院</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71"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制表日期：2016年3月</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24"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38"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4" w:type="dxa"/>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kern w:val="0"/>
                <w:sz w:val="22"/>
              </w:rPr>
            </w:pPr>
            <w:r>
              <w:rPr>
                <w:rFonts w:hint="eastAsia" w:ascii="宋体" w:hAnsi="宋体" w:eastAsia="宋体" w:cs="Arial"/>
                <w:kern w:val="0"/>
                <w:sz w:val="22"/>
              </w:rPr>
              <w:t>金额单位：万元</w:t>
            </w:r>
          </w:p>
        </w:tc>
      </w:tr>
      <w:tr>
        <w:tblPrEx>
          <w:tblCellMar>
            <w:top w:w="0" w:type="dxa"/>
            <w:left w:w="108" w:type="dxa"/>
            <w:bottom w:w="0" w:type="dxa"/>
            <w:right w:w="108" w:type="dxa"/>
          </w:tblCellMar>
        </w:tblPrEx>
        <w:trPr>
          <w:trHeight w:val="305" w:hRule="atLeast"/>
        </w:trPr>
        <w:tc>
          <w:tcPr>
            <w:tcW w:w="8091" w:type="dxa"/>
            <w:gridSpan w:val="6"/>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488" w:type="dxa"/>
            <w:gridSpan w:val="6"/>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trHeight w:val="305" w:hRule="atLeast"/>
        </w:trPr>
        <w:tc>
          <w:tcPr>
            <w:tcW w:w="1224"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2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67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971"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22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2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686"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35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CellMar>
            <w:top w:w="0" w:type="dxa"/>
            <w:left w:w="108" w:type="dxa"/>
            <w:bottom w:w="0" w:type="dxa"/>
            <w:right w:w="108" w:type="dxa"/>
          </w:tblCellMar>
        </w:tblPrEx>
        <w:trPr>
          <w:trHeight w:val="601"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97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38"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35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5" w:hRule="atLeast"/>
        </w:trPr>
        <w:tc>
          <w:tcPr>
            <w:tcW w:w="1224"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97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22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238"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5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CellMar>
            <w:top w:w="0" w:type="dxa"/>
            <w:left w:w="108" w:type="dxa"/>
            <w:bottom w:w="0" w:type="dxa"/>
            <w:right w:w="108" w:type="dxa"/>
          </w:tblCellMar>
        </w:tblPrEx>
        <w:trPr>
          <w:trHeight w:val="305" w:hRule="atLeast"/>
        </w:trPr>
        <w:tc>
          <w:tcPr>
            <w:tcW w:w="122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1.80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97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1.80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2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c>
          <w:tcPr>
            <w:tcW w:w="13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0.90</w:t>
            </w:r>
          </w:p>
        </w:tc>
      </w:tr>
      <w:tr>
        <w:tblPrEx>
          <w:tblCellMar>
            <w:top w:w="0" w:type="dxa"/>
            <w:left w:w="108" w:type="dxa"/>
            <w:bottom w:w="0" w:type="dxa"/>
            <w:right w:w="108" w:type="dxa"/>
          </w:tblCellMar>
        </w:tblPrEx>
        <w:trPr>
          <w:trHeight w:val="601" w:hRule="atLeast"/>
        </w:trPr>
        <w:tc>
          <w:tcPr>
            <w:tcW w:w="15579" w:type="dxa"/>
            <w:gridSpan w:val="12"/>
            <w:tcBorders>
              <w:top w:val="nil"/>
              <w:left w:val="nil"/>
              <w:bottom w:val="nil"/>
              <w:right w:val="nil"/>
            </w:tcBorders>
            <w:shd w:val="clear" w:color="000000" w:fill="FFFFFF"/>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tbl>
      <w:tblPr>
        <w:tblStyle w:val="5"/>
        <w:tblW w:w="15020" w:type="dxa"/>
        <w:tblInd w:w="93" w:type="dxa"/>
        <w:tblLayout w:type="autofit"/>
        <w:tblCellMar>
          <w:top w:w="0" w:type="dxa"/>
          <w:left w:w="108" w:type="dxa"/>
          <w:bottom w:w="0" w:type="dxa"/>
          <w:right w:w="108" w:type="dxa"/>
        </w:tblCellMar>
      </w:tblPr>
      <w:tblGrid>
        <w:gridCol w:w="340"/>
        <w:gridCol w:w="340"/>
        <w:gridCol w:w="340"/>
        <w:gridCol w:w="3920"/>
        <w:gridCol w:w="1680"/>
        <w:gridCol w:w="1680"/>
        <w:gridCol w:w="1680"/>
        <w:gridCol w:w="1680"/>
        <w:gridCol w:w="1680"/>
        <w:gridCol w:w="1680"/>
      </w:tblGrid>
      <w:tr>
        <w:tblPrEx>
          <w:tblCellMar>
            <w:top w:w="0" w:type="dxa"/>
            <w:left w:w="108" w:type="dxa"/>
            <w:bottom w:w="0" w:type="dxa"/>
            <w:right w:w="108" w:type="dxa"/>
          </w:tblCellMar>
        </w:tblPrEx>
        <w:trPr>
          <w:trHeight w:val="375" w:hRule="atLeast"/>
        </w:trPr>
        <w:tc>
          <w:tcPr>
            <w:tcW w:w="15020" w:type="dxa"/>
            <w:gridSpan w:val="10"/>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center"/>
              <w:rPr>
                <w:rFonts w:ascii="宋体" w:hAnsi="宋体" w:eastAsia="宋体" w:cs="Arial"/>
                <w:kern w:val="0"/>
                <w:szCs w:val="21"/>
              </w:rPr>
            </w:pPr>
            <w:r>
              <w:rPr>
                <w:rFonts w:hint="eastAsia" w:ascii="黑体" w:hAnsi="黑体" w:eastAsia="黑体" w:cs="Arial"/>
                <w:color w:val="000000"/>
                <w:kern w:val="0"/>
                <w:sz w:val="36"/>
                <w:szCs w:val="36"/>
              </w:rPr>
              <w:t>政府性基金预算财政拨款收入支出决算表</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公开08表</w:t>
            </w:r>
          </w:p>
        </w:tc>
      </w:tr>
      <w:tr>
        <w:tblPrEx>
          <w:tblCellMar>
            <w:top w:w="0" w:type="dxa"/>
            <w:left w:w="108" w:type="dxa"/>
            <w:bottom w:w="0" w:type="dxa"/>
            <w:right w:w="108" w:type="dxa"/>
          </w:tblCellMar>
        </w:tblPrEx>
        <w:trPr>
          <w:trHeight w:val="300" w:hRule="atLeast"/>
        </w:trPr>
        <w:tc>
          <w:tcPr>
            <w:tcW w:w="4940" w:type="dxa"/>
            <w:gridSpan w:val="4"/>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1680"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2020年度</w:t>
            </w:r>
          </w:p>
        </w:tc>
        <w:tc>
          <w:tcPr>
            <w:tcW w:w="168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w:t>
            </w:r>
          </w:p>
        </w:tc>
        <w:tc>
          <w:tcPr>
            <w:tcW w:w="5040"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年末结转和结余</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68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9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5020"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注：本表反映部门本年度政府性基金预算财政拨款收入、支出及结转和结余情况。</w:t>
            </w:r>
          </w:p>
        </w:tc>
      </w:tr>
    </w:tbl>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tbl>
      <w:tblPr>
        <w:tblStyle w:val="5"/>
        <w:tblW w:w="15420" w:type="dxa"/>
        <w:tblInd w:w="93" w:type="dxa"/>
        <w:tblLayout w:type="autofit"/>
        <w:tblCellMar>
          <w:top w:w="0" w:type="dxa"/>
          <w:left w:w="108" w:type="dxa"/>
          <w:bottom w:w="0" w:type="dxa"/>
          <w:right w:w="108" w:type="dxa"/>
        </w:tblCellMar>
      </w:tblPr>
      <w:tblGrid>
        <w:gridCol w:w="1180"/>
        <w:gridCol w:w="1180"/>
        <w:gridCol w:w="1180"/>
        <w:gridCol w:w="5197"/>
        <w:gridCol w:w="2227"/>
        <w:gridCol w:w="2227"/>
        <w:gridCol w:w="2229"/>
      </w:tblGrid>
      <w:tr>
        <w:tblPrEx>
          <w:tblCellMar>
            <w:top w:w="0" w:type="dxa"/>
            <w:left w:w="108" w:type="dxa"/>
            <w:bottom w:w="0" w:type="dxa"/>
            <w:right w:w="108" w:type="dxa"/>
          </w:tblCellMar>
        </w:tblPrEx>
        <w:trPr>
          <w:trHeight w:val="975" w:hRule="atLeast"/>
        </w:trPr>
        <w:tc>
          <w:tcPr>
            <w:tcW w:w="15420" w:type="dxa"/>
            <w:gridSpan w:val="7"/>
            <w:tcBorders>
              <w:top w:val="nil"/>
              <w:left w:val="nil"/>
              <w:bottom w:val="nil"/>
              <w:right w:val="single" w:color="808080" w:sz="4" w:space="0"/>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22"/>
              </w:rPr>
              <w:t>　</w:t>
            </w:r>
          </w:p>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国有资本经营预算财政拨款支出决算表</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244" w:hRule="atLeast"/>
        </w:trPr>
        <w:tc>
          <w:tcPr>
            <w:tcW w:w="11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19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9" w:type="dxa"/>
            <w:tcBorders>
              <w:top w:val="nil"/>
              <w:left w:val="nil"/>
              <w:bottom w:val="nil"/>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公开09表</w:t>
            </w:r>
          </w:p>
        </w:tc>
      </w:tr>
      <w:tr>
        <w:tblPrEx>
          <w:tblCellMar>
            <w:top w:w="0" w:type="dxa"/>
            <w:left w:w="108" w:type="dxa"/>
            <w:bottom w:w="0" w:type="dxa"/>
            <w:right w:w="108" w:type="dxa"/>
          </w:tblCellMar>
        </w:tblPrEx>
        <w:trPr>
          <w:trHeight w:val="488" w:hRule="atLeast"/>
        </w:trPr>
        <w:tc>
          <w:tcPr>
            <w:tcW w:w="3540" w:type="dxa"/>
            <w:gridSpan w:val="3"/>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部门：湖南省有色地质医院</w:t>
            </w:r>
          </w:p>
        </w:tc>
        <w:tc>
          <w:tcPr>
            <w:tcW w:w="5197" w:type="dxa"/>
            <w:tcBorders>
              <w:top w:val="nil"/>
              <w:left w:val="nil"/>
              <w:bottom w:val="single" w:color="808080" w:sz="4" w:space="0"/>
              <w:right w:val="nil"/>
            </w:tcBorders>
            <w:shd w:val="clear" w:color="000000"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2020年度</w:t>
            </w:r>
          </w:p>
        </w:tc>
        <w:tc>
          <w:tcPr>
            <w:tcW w:w="2227"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7" w:type="dxa"/>
            <w:tcBorders>
              <w:top w:val="nil"/>
              <w:left w:val="nil"/>
              <w:bottom w:val="single" w:color="80808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29" w:type="dxa"/>
            <w:tcBorders>
              <w:top w:val="nil"/>
              <w:left w:val="nil"/>
              <w:bottom w:val="single" w:color="808080" w:sz="4" w:space="0"/>
              <w:right w:val="single" w:color="80808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trHeight w:val="252" w:hRule="atLeast"/>
        </w:trPr>
        <w:tc>
          <w:tcPr>
            <w:tcW w:w="8737"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683"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3540" w:type="dxa"/>
            <w:gridSpan w:val="3"/>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5197"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27"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227"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29"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35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519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354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519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252" w:hRule="atLeast"/>
        </w:trPr>
        <w:tc>
          <w:tcPr>
            <w:tcW w:w="8737"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29"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252" w:hRule="atLeast"/>
        </w:trPr>
        <w:tc>
          <w:tcPr>
            <w:tcW w:w="8737"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22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tblPrEx>
          <w:tblCellMar>
            <w:top w:w="0" w:type="dxa"/>
            <w:left w:w="108" w:type="dxa"/>
            <w:bottom w:w="0" w:type="dxa"/>
            <w:right w:w="108" w:type="dxa"/>
          </w:tblCellMar>
        </w:tblPrEx>
        <w:trPr>
          <w:trHeight w:val="252" w:hRule="atLeast"/>
        </w:trPr>
        <w:tc>
          <w:tcPr>
            <w:tcW w:w="354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19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252" w:hRule="atLeast"/>
        </w:trPr>
        <w:tc>
          <w:tcPr>
            <w:tcW w:w="15420"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注：本表反映部门本年度国有资本经营预算财政拨款支出情况。</w:t>
            </w:r>
          </w:p>
        </w:tc>
      </w:tr>
    </w:tbl>
    <w:p>
      <w:pPr>
        <w:pStyle w:val="9"/>
        <w:rPr>
          <w:sz w:val="72"/>
          <w:szCs w:val="72"/>
        </w:rPr>
        <w:sectPr>
          <w:pgSz w:w="16838" w:h="11906" w:orient="landscape"/>
          <w:pgMar w:top="720" w:right="720" w:bottom="425"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firstLine="627" w:firstLineChars="196"/>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2020年度收入总计992.18万元，与上年相比增加249.29万元，增长33.56%</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color w:val="000000" w:themeColor="text1"/>
          <w:sz w:val="32"/>
          <w:szCs w:val="32"/>
        </w:rPr>
        <w:t>主要是因为我单位涉改，2020年财政预算拨款基数有所增加。</w:t>
      </w:r>
    </w:p>
    <w:p>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2020年度</w:t>
      </w:r>
      <w:r>
        <w:rPr>
          <w:rFonts w:hint="eastAsia" w:asciiTheme="minorEastAsia" w:hAnsiTheme="minorEastAsia" w:eastAsiaTheme="minorEastAsia"/>
          <w:sz w:val="32"/>
          <w:szCs w:val="32"/>
        </w:rPr>
        <w:t>支出总计</w:t>
      </w:r>
      <w:r>
        <w:rPr>
          <w:rFonts w:hint="eastAsia" w:asciiTheme="minorEastAsia" w:hAnsiTheme="minorEastAsia" w:eastAsiaTheme="minorEastAsia"/>
          <w:sz w:val="32"/>
          <w:szCs w:val="32"/>
          <w:lang w:val="en-US" w:eastAsia="zh-CN"/>
        </w:rPr>
        <w:t>992.18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highlight w:val="none"/>
        </w:rPr>
        <w:t>（包含结余</w:t>
      </w:r>
      <w:r>
        <w:rPr>
          <w:rFonts w:hint="eastAsia" w:asciiTheme="minorEastAsia" w:hAnsiTheme="minorEastAsia" w:eastAsiaTheme="minorEastAsia"/>
          <w:color w:val="auto"/>
          <w:sz w:val="32"/>
          <w:szCs w:val="32"/>
          <w:highlight w:val="none"/>
          <w:lang w:eastAsia="zh-CN"/>
        </w:rPr>
        <w:t>分配</w:t>
      </w:r>
      <w:r>
        <w:rPr>
          <w:rFonts w:hint="eastAsia" w:asciiTheme="minorEastAsia" w:hAnsiTheme="minorEastAsia" w:eastAsiaTheme="minorEastAsia"/>
          <w:color w:val="auto"/>
          <w:sz w:val="32"/>
          <w:szCs w:val="32"/>
          <w:highlight w:val="none"/>
          <w:lang w:val="en-US" w:eastAsia="zh-CN"/>
        </w:rPr>
        <w:t>0.47万元）</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249.29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33.56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000000" w:themeColor="text1"/>
          <w:sz w:val="32"/>
          <w:szCs w:val="32"/>
        </w:rPr>
        <w:t>主要是因为我单位涉改，2020年财政预算</w:t>
      </w:r>
      <w:r>
        <w:rPr>
          <w:rFonts w:hint="eastAsia" w:asciiTheme="minorEastAsia" w:hAnsiTheme="minorEastAsia" w:eastAsiaTheme="minorEastAsia"/>
          <w:color w:val="000000" w:themeColor="text1"/>
          <w:sz w:val="32"/>
          <w:szCs w:val="32"/>
          <w:lang w:eastAsia="zh-CN"/>
        </w:rPr>
        <w:t>基本支出</w:t>
      </w:r>
      <w:r>
        <w:rPr>
          <w:rFonts w:hint="eastAsia" w:asciiTheme="minorEastAsia" w:hAnsiTheme="minorEastAsia" w:eastAsiaTheme="minorEastAsia"/>
          <w:color w:val="000000" w:themeColor="text1"/>
          <w:sz w:val="32"/>
          <w:szCs w:val="32"/>
        </w:rPr>
        <w:t>有所增加。</w:t>
      </w:r>
    </w:p>
    <w:p>
      <w:pPr>
        <w:pStyle w:val="9"/>
        <w:ind w:firstLine="627" w:firstLineChars="196"/>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本年收入合计992.18万元，其中：财政拨款收入786.74万元，占79.3%；上级补助收入0万元，占0%；事业收入205.44万元，占20.7%；经营收入0万元，占0%；附属单位上缴收入0万元，占0%；其他收入0万元，占0%。</w:t>
      </w:r>
    </w:p>
    <w:p>
      <w:pPr>
        <w:pStyle w:val="9"/>
        <w:ind w:firstLine="627" w:firstLineChars="196"/>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本年支出合计991.71万元，其中：基本支出919.71万元，占93%；项目支出72万元，占7%；上缴上级支出0万元，占0%；经营支出0万元，占0%；对附属单位补助支出0万元，占0%。</w:t>
      </w:r>
    </w:p>
    <w:p>
      <w:pPr>
        <w:pStyle w:val="9"/>
        <w:ind w:firstLine="627" w:firstLineChars="196"/>
        <w:rPr>
          <w:rFonts w:hAnsi="黑体"/>
          <w:b/>
          <w:sz w:val="32"/>
          <w:szCs w:val="32"/>
        </w:rPr>
      </w:pPr>
      <w:r>
        <w:rPr>
          <w:rFonts w:hint="eastAsia" w:hAnsi="黑体"/>
          <w:b/>
          <w:sz w:val="32"/>
          <w:szCs w:val="32"/>
        </w:rPr>
        <w:t>四、财政拨款收入支出决算总体情况说明</w:t>
      </w:r>
    </w:p>
    <w:p>
      <w:pPr>
        <w:pStyle w:val="9"/>
        <w:ind w:firstLine="636"/>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2020年度财政拨款收</w:t>
      </w:r>
      <w:r>
        <w:rPr>
          <w:rFonts w:hint="eastAsia" w:asciiTheme="minorEastAsia" w:hAnsiTheme="minorEastAsia" w:eastAsiaTheme="minorEastAsia"/>
          <w:sz w:val="32"/>
          <w:szCs w:val="32"/>
          <w:lang w:eastAsia="zh-CN"/>
        </w:rPr>
        <w:t>入</w:t>
      </w:r>
      <w:r>
        <w:rPr>
          <w:rFonts w:hint="eastAsia" w:asciiTheme="minorEastAsia" w:hAnsiTheme="minorEastAsia" w:eastAsiaTheme="minorEastAsia"/>
          <w:sz w:val="32"/>
          <w:szCs w:val="32"/>
        </w:rPr>
        <w:t>总计786.74万元，与上年相比，增加258.54万元,增长49%，主要是因为我单位涉改，2020年财政预算拨款基数有增加。</w:t>
      </w:r>
    </w:p>
    <w:p>
      <w:pPr>
        <w:pStyle w:val="9"/>
        <w:ind w:firstLine="636"/>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2020年度财政拨款收</w:t>
      </w:r>
      <w:r>
        <w:rPr>
          <w:rFonts w:hint="eastAsia" w:asciiTheme="minorEastAsia" w:hAnsiTheme="minorEastAsia" w:eastAsiaTheme="minorEastAsia"/>
          <w:sz w:val="32"/>
          <w:szCs w:val="32"/>
          <w:lang w:eastAsia="zh-CN"/>
        </w:rPr>
        <w:t>入</w:t>
      </w:r>
      <w:r>
        <w:rPr>
          <w:rFonts w:hint="eastAsia" w:asciiTheme="minorEastAsia" w:hAnsiTheme="minorEastAsia" w:eastAsiaTheme="minorEastAsia"/>
          <w:sz w:val="32"/>
          <w:szCs w:val="32"/>
        </w:rPr>
        <w:t>总计786.74万元，与上年相比，增加258.54万元,增长49%，主要是因为我单位涉改，2020年财政预算拨款</w:t>
      </w:r>
      <w:r>
        <w:rPr>
          <w:rFonts w:hint="eastAsia" w:asciiTheme="minorEastAsia" w:hAnsiTheme="minorEastAsia" w:eastAsiaTheme="minorEastAsia"/>
          <w:sz w:val="32"/>
          <w:szCs w:val="32"/>
          <w:lang w:eastAsia="zh-CN"/>
        </w:rPr>
        <w:t>支出</w:t>
      </w:r>
      <w:bookmarkStart w:id="0" w:name="_GoBack"/>
      <w:bookmarkEnd w:id="0"/>
      <w:r>
        <w:rPr>
          <w:rFonts w:hint="eastAsia" w:asciiTheme="minorEastAsia" w:hAnsiTheme="minorEastAsia" w:eastAsiaTheme="minorEastAsia"/>
          <w:sz w:val="32"/>
          <w:szCs w:val="32"/>
        </w:rPr>
        <w:t>有增加。</w:t>
      </w:r>
    </w:p>
    <w:p>
      <w:pPr>
        <w:pStyle w:val="9"/>
        <w:ind w:firstLine="636"/>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2020年度财政拨款支出786.74万元，占本年支出合计的79%，与上年相比，财政拨款支出增加258.74万元，增长49%，主要是因为我单位涉改，支出有所增加。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786.74万元，主要用于以下方面：教育支出（类）0.90万元，占0.11%;社会保障和就业支出（类）98.73万元，占12.55%；卫生健康支出（类）48.63万元，占6.18%；资源勘探工业信息等支出（类）72万元，占9.15%；自然资源海洋气象等支出（类）512.87万元，占65.19%；住房保障支出（类）53.61万元，占6.82%。</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2020年度财政拨款支出年初预算数为714.74万元，支出决算数为786.74万元，完成年初预算的110.07%，其中：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1、教育（类）进修及培训（款）培训支出（项）。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年初预算为0.90万元，支出决算为0.90万元，完成年初预算的100%，决算数与年初预算数持平。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2、社会保障和就业支出（类）行政事业单位养老支出（款）机关事业单位基本养老保险缴费支出（项）。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年初预算为98.73元，支出决算为98.73万元，完成年初预算的100%，决算数与年初预算数持平。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3、卫生健康支出（类）行政事业单位医疗（款）事业单位医疗（项）。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年初预算为48.63万元，支出决算为48.63万元，完成年初预算的100%，决算数与年初预算数持平。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4、资源勘探工业信息等支出（类）资源勘探开发（款）其他资源勘探业支出（项）。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年初预算为0万元，支出决算为72万元，决算数大于年初预算数的主要原因是：湖南省地质院根据我单位改革期间的实际情况，安排了地勘改革发展资金专项72万元，用于我单位行政医疗大楼的消防整改、办证 、维修等项目支出。</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5、自然资源海洋气象等支出（类）自然资源事务（款）事业运行（项）。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年初预算为512.87万元，支出决算为512.87万元，完成年初预算的100%，决算数与年初预算数持平。</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6、住房保障支出（类）住房改革支出（款）住房公积金（项）。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年初预算为53.61万元，支出决算为53.61万元，完成年初预算的100%，决算数与年初预算数持平。</w:t>
      </w:r>
    </w:p>
    <w:p>
      <w:pPr>
        <w:pStyle w:val="9"/>
        <w:ind w:firstLine="960" w:firstLineChars="300"/>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714.74万元，其中：人员经费675.24万元，占基本支出的94.5%,主要包括基本工资、津贴补贴、绩效工资、机关事业单位养老保险缴费、职工基本医疗保险缴费、其他社会保障缴费、住房公积金、离休费、退休费、抚恤金、生活补助、医疗补助、奖励金、其他对个人和家庭的补助；公用经费39.50万元，占基本支出的5.5%，主要包括办公费、印刷费、水费、电费、邮电费、物业管理费、差旅费、租赁费、培训费、公务接待费、工会经费、福利费、公务车运行维护费、其他交通费用、其他商品和服务支出。</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“三公”经费财政拨款支出预算为1.80万元，支出决算为1.80万元，完成预算的100%，其中：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因公出国（境）费支出预算为0万元，支出决算为0万元，完成预算的0%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决算数与预算数持平，与上年相比增加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公务接待费支出预算为0.9万元，支出决算为0.90万元，完成预算的100%，决算数与预算数持平，与上年相比增加0.10万元，增长12.5%,增长的主要原因是按照单位实际情况有所增加。</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0.90万元，支出决算为0.90万元，完成预算的100%，决算数与预算数持平，与上年相比减少0.40万元，减少30.77%,减少的主要原因是按照单位实际情况和省财政厅缩减三公经费要求。</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2020年度“三公”经费财政拨款支出决算中，公务接待费支出决算0.90万元，占50%,因公出国（境）费支出决算0万元，占0%,公务用车购置费及运行维护费支出决算0.90万元，占50%。其中：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2、公务接待费支出决算为0.90万元，全年共接待来访团组26个、来宾225人次，主要是改革期间为了稳定职工队伍，召开离退休人员座谈会、社区文明创建等公共服务活动发生的接待支出。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3、公务用车购置费及运行维护费支出决算为0.90万元，其中：公务用车购置费0万元，（单位本级或某二级机构）更新公务用车0辆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公务用车运行维护费0.90万元，主要是日常公务车购置汽油、日常维护支出，截止2020年12月31日，我单位开支财政拨款的公务用车保有量为1辆。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2020年度政府性基金预算财政拨款收入0万元；年初结转和结余0万元；支出0万元，其中基本支出0万元，项目支出0万元；年末结转和结余0万元。</w:t>
      </w:r>
    </w:p>
    <w:p>
      <w:pPr>
        <w:pStyle w:val="9"/>
        <w:rPr>
          <w:rFonts w:hAnsi="黑体"/>
          <w:b/>
          <w:sz w:val="32"/>
          <w:szCs w:val="32"/>
        </w:rPr>
      </w:pPr>
      <w:r>
        <w:rPr>
          <w:rFonts w:hint="eastAsia" w:hAnsi="黑体"/>
          <w:b/>
          <w:sz w:val="32"/>
          <w:szCs w:val="32"/>
        </w:rPr>
        <w:t>九、关于机关运行经费支出说明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本部门2020年度机关运行经费支出0万元，比年初预算数（或者上年决算数）增加（减少）0万元，增长（降低）0%。</w:t>
      </w:r>
    </w:p>
    <w:p>
      <w:pPr>
        <w:pStyle w:val="9"/>
        <w:rPr>
          <w:rFonts w:hAnsi="黑体"/>
          <w:b/>
          <w:sz w:val="32"/>
          <w:szCs w:val="32"/>
        </w:rPr>
      </w:pPr>
      <w:r>
        <w:rPr>
          <w:rFonts w:hint="eastAsia" w:hAnsi="黑体"/>
          <w:b/>
          <w:sz w:val="32"/>
          <w:szCs w:val="32"/>
        </w:rPr>
        <w:t>十、一般性支出情况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0万元，用于召开0次会议，人数0人；开支培训费0.90万元，用于开展职工再教育培训，人数人19次，内容为消防人员培训、资产管理培训、档案人员培训、财务人员再教育培训；举办0次等节庆、晚会、论坛、赛事活动，开支0万元。</w:t>
      </w:r>
    </w:p>
    <w:p>
      <w:pPr>
        <w:pStyle w:val="9"/>
        <w:rPr>
          <w:rFonts w:hAnsi="黑体"/>
          <w:b/>
          <w:sz w:val="32"/>
          <w:szCs w:val="32"/>
        </w:rPr>
      </w:pPr>
      <w:r>
        <w:rPr>
          <w:rFonts w:hint="eastAsia" w:hAnsi="黑体"/>
          <w:b/>
          <w:sz w:val="32"/>
          <w:szCs w:val="32"/>
        </w:rPr>
        <w:t>十一、关于政府采购支出说明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本部门2020年度政府采购支出总额0万元，其中：政府采购货物支出0万元、政府采购工程支出0 万元、政府采购服务支出0万元。授予中小企业合同金额0万元，占政府采购支出总额的0%，其中：授予小微企业合同金额0万元，占政府采购支出总额的0%。</w:t>
      </w:r>
    </w:p>
    <w:p>
      <w:pPr>
        <w:pStyle w:val="9"/>
        <w:rPr>
          <w:rFonts w:hAnsi="黑体"/>
          <w:b/>
          <w:sz w:val="32"/>
          <w:szCs w:val="32"/>
        </w:rPr>
      </w:pPr>
      <w:r>
        <w:rPr>
          <w:rFonts w:hint="eastAsia" w:hAnsi="黑体"/>
          <w:b/>
          <w:sz w:val="32"/>
          <w:szCs w:val="32"/>
        </w:rPr>
        <w:t>十二、关于国有资产占用情况说明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1辆，其中，主要领导干部用车0辆，机要通信用车0辆、应急保障用车0辆、执法执勤用车0辆、特种专业技术用车0辆、其他用车1辆，其他用车主要是用于医院社会活动、离退休老干部看病等；单位价值50万元以上通用设备0台（套）；单位价值100万元以上专用设备0台（套）。</w:t>
      </w:r>
    </w:p>
    <w:p>
      <w:pPr>
        <w:pStyle w:val="9"/>
        <w:rPr>
          <w:rFonts w:hAnsi="黑体"/>
          <w:b/>
          <w:sz w:val="32"/>
          <w:szCs w:val="32"/>
        </w:rPr>
      </w:pPr>
      <w:r>
        <w:rPr>
          <w:rFonts w:hint="eastAsia" w:hAnsi="黑体"/>
          <w:b/>
          <w:sz w:val="32"/>
          <w:szCs w:val="32"/>
        </w:rPr>
        <w:t>十三、关于2020年度预算绩效情况的说明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本部门预算绩效管理开展情况、绩效目标和绩效评价报告等已由上级单位汇总公开，本次随部门决算一同公开（详见附件）。</w:t>
      </w: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一、基本支出</w:t>
      </w:r>
      <w:r>
        <w:rPr>
          <w:rFonts w:hint="eastAsia" w:cs="黑体" w:asciiTheme="minorEastAsia" w:hAnsiTheme="minorEastAsia"/>
          <w:color w:val="000000"/>
          <w:kern w:val="0"/>
          <w:sz w:val="32"/>
          <w:szCs w:val="32"/>
        </w:rPr>
        <w:t>：指为保障机构正常运转、完成日常工作任务而发生的各项支出，包括人员支出和公用支出。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二、项目支出：</w:t>
      </w:r>
      <w:r>
        <w:rPr>
          <w:rFonts w:hint="eastAsia" w:cs="黑体" w:asciiTheme="minorEastAsia" w:hAnsiTheme="minorEastAsia"/>
          <w:color w:val="000000"/>
          <w:kern w:val="0"/>
          <w:sz w:val="32"/>
          <w:szCs w:val="32"/>
        </w:rPr>
        <w:t>指在基本支出以外为完成相关行政任务和事业发展目标所发生的各项支出。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三、“三公”经费：</w:t>
      </w:r>
      <w:r>
        <w:rPr>
          <w:rFonts w:hint="eastAsia" w:cs="黑体" w:asciiTheme="minorEastAsia" w:hAnsiTheme="minorEastAsia"/>
          <w:color w:val="000000"/>
          <w:kern w:val="0"/>
          <w:sz w:val="32"/>
          <w:szCs w:val="32"/>
        </w:rPr>
        <w:t>指通过财政拨款资金安排的因公出国（境）费、公务用车购置及运行费和公务接待费支出。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w:t>
      </w:r>
      <w:r>
        <w:rPr>
          <w:rFonts w:hint="eastAsia" w:cs="黑体" w:asciiTheme="minorEastAsia" w:hAnsiTheme="minorEastAsia"/>
          <w:b/>
          <w:color w:val="000000"/>
          <w:kern w:val="0"/>
          <w:sz w:val="32"/>
          <w:szCs w:val="32"/>
        </w:rPr>
        <w:t>机关运行经费：</w:t>
      </w:r>
      <w:r>
        <w:rPr>
          <w:rFonts w:hint="eastAsia" w:cs="黑体" w:asciiTheme="minorEastAsia" w:hAnsiTheme="minorEastAsia"/>
          <w:color w:val="000000"/>
          <w:kern w:val="0"/>
          <w:sz w:val="32"/>
          <w:szCs w:val="32"/>
        </w:rPr>
        <w:t>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jc w:val="center"/>
        <w:rPr>
          <w:rFonts w:ascii="方正小标宋_GBK" w:eastAsia="方正小标宋_GBK"/>
          <w:sz w:val="52"/>
          <w:szCs w:val="52"/>
        </w:rPr>
      </w:pPr>
      <w:r>
        <w:rPr>
          <w:rFonts w:hint="eastAsia" w:ascii="方正小标宋_GBK" w:eastAsia="方正小标宋_GBK"/>
          <w:sz w:val="52"/>
          <w:szCs w:val="52"/>
        </w:rPr>
        <w:t>2020年度湖南省有色地质医院</w:t>
      </w:r>
    </w:p>
    <w:p>
      <w:pPr>
        <w:jc w:val="center"/>
        <w:rPr>
          <w:rFonts w:ascii="方正小标宋_GBK" w:eastAsia="方正小标宋_GBK"/>
          <w:sz w:val="52"/>
          <w:szCs w:val="52"/>
        </w:rPr>
      </w:pPr>
      <w:r>
        <w:rPr>
          <w:rFonts w:hint="eastAsia" w:ascii="方正小标宋_GBK" w:eastAsia="方正小标宋_GBK"/>
          <w:sz w:val="52"/>
          <w:szCs w:val="52"/>
        </w:rPr>
        <w:t>整体支出绩效自评报告</w:t>
      </w:r>
    </w:p>
    <w:p>
      <w:pPr>
        <w:numPr>
          <w:ilvl w:val="0"/>
          <w:numId w:val="2"/>
        </w:numPr>
        <w:spacing w:line="600" w:lineRule="exact"/>
        <w:ind w:right="138" w:rightChars="66"/>
        <w:rPr>
          <w:rFonts w:ascii="黑体" w:eastAsia="黑体"/>
          <w:sz w:val="32"/>
          <w:szCs w:val="32"/>
        </w:rPr>
      </w:pPr>
      <w:r>
        <w:rPr>
          <w:rFonts w:hint="eastAsia" w:ascii="黑体" w:eastAsia="黑体"/>
          <w:sz w:val="32"/>
          <w:szCs w:val="32"/>
        </w:rPr>
        <w:t>单位基本情况</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（一）基本情况</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我院隶属湖南省地质院，属财政补助事业单位，事业编制102人，现实际在职职工58人，离休1人，退休人员117人，是湖南省地勘系统第一批改革单位，医疗职能移交社会，医疗人员及部分管理人员在2019年中合并到湖南省地矿医院，原医疗主营业务停止开展，剩余人员待第二次改革。</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（二）工作职能</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2020年主要工作职能就是围绕改革，做好在职人员及离退休人员队伍的和谐稳定工作，做好改革过程中资产清查等后续工作，努力完成湖南省地质院下达的2020年工作任务及经济指标。</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（三）年度工作任务和经济指标</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2020年初，湖南省地质院下达了我院年度绩效考核指标和重点工作任务：</w:t>
      </w:r>
    </w:p>
    <w:p>
      <w:pPr>
        <w:snapToGrid w:val="0"/>
        <w:spacing w:line="600" w:lineRule="exact"/>
        <w:ind w:left="640" w:right="138" w:rightChars="66"/>
        <w:rPr>
          <w:rFonts w:ascii="仿宋" w:hAnsi="仿宋" w:eastAsia="仿宋"/>
          <w:sz w:val="32"/>
          <w:szCs w:val="32"/>
        </w:rPr>
      </w:pPr>
      <w:r>
        <w:rPr>
          <w:rFonts w:hint="eastAsia" w:ascii="仿宋" w:hAnsi="仿宋" w:eastAsia="仿宋"/>
          <w:sz w:val="32"/>
          <w:szCs w:val="32"/>
        </w:rPr>
        <w:t>（1）、年度经营总收入240万元（含下属企业收入）。</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（2）、实现收支平衡。</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（3）、在地勘单位改革期间，维护单位的和谐稳定。</w:t>
      </w:r>
    </w:p>
    <w:p>
      <w:pPr>
        <w:snapToGrid w:val="0"/>
        <w:spacing w:line="600" w:lineRule="exact"/>
        <w:ind w:right="138" w:rightChars="66" w:firstLine="640" w:firstLineChars="200"/>
        <w:rPr>
          <w:rFonts w:ascii="仿宋" w:hAnsi="仿宋" w:eastAsia="仿宋"/>
          <w:sz w:val="32"/>
          <w:szCs w:val="32"/>
        </w:rPr>
      </w:pPr>
      <w:r>
        <w:rPr>
          <w:rFonts w:hint="eastAsia" w:ascii="仿宋" w:hAnsi="仿宋" w:eastAsia="仿宋"/>
          <w:sz w:val="32"/>
          <w:szCs w:val="32"/>
        </w:rPr>
        <w:t>（4）、党风廉政建设、平安建设、安全生产三项重点工作，必须完成地质院下达的年度目标任务书，考核结果纳入绩效考核。</w:t>
      </w:r>
    </w:p>
    <w:p>
      <w:pPr>
        <w:spacing w:line="600" w:lineRule="exact"/>
        <w:ind w:left="640" w:right="138" w:rightChars="66"/>
        <w:rPr>
          <w:rFonts w:ascii="黑体" w:eastAsia="黑体"/>
          <w:sz w:val="32"/>
          <w:szCs w:val="32"/>
        </w:rPr>
      </w:pPr>
      <w:r>
        <w:rPr>
          <w:rFonts w:hint="eastAsia" w:ascii="黑体" w:eastAsia="黑体"/>
          <w:sz w:val="32"/>
          <w:szCs w:val="32"/>
        </w:rPr>
        <w:t>二、一般公共预算支出情况</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（一）基本支出情况</w:t>
      </w:r>
    </w:p>
    <w:p>
      <w:pPr>
        <w:widowControl/>
        <w:spacing w:line="600" w:lineRule="exact"/>
        <w:ind w:right="138" w:rightChars="66" w:firstLine="627" w:firstLineChars="196"/>
        <w:rPr>
          <w:rFonts w:ascii="仿宋" w:hAnsi="仿宋" w:eastAsia="仿宋"/>
          <w:sz w:val="32"/>
          <w:szCs w:val="32"/>
        </w:rPr>
      </w:pPr>
      <w:r>
        <w:rPr>
          <w:rFonts w:hint="eastAsia" w:ascii="仿宋" w:hAnsi="仿宋" w:eastAsia="仿宋"/>
          <w:sz w:val="32"/>
          <w:szCs w:val="32"/>
        </w:rPr>
        <w:t>我院在2020年基本支出919.71万元（财政拨款支出714.74万元，事业支出204.97万元），其中：人员经费支出831.16万元，公用经费支出88.56万元。</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（二）项目支出情况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湖南省地质院根据我院改革实际情况，在2020年安排地勘单位改革发展资金72万元，用于医疗大楼、行政办公大楼的维修、维护及消防安全设施整改等费用。</w:t>
      </w:r>
    </w:p>
    <w:p>
      <w:pPr>
        <w:widowControl/>
        <w:spacing w:line="600" w:lineRule="exact"/>
        <w:ind w:right="138" w:rightChars="66" w:firstLine="640" w:firstLineChars="200"/>
        <w:jc w:val="left"/>
        <w:rPr>
          <w:rFonts w:eastAsia="黑体"/>
          <w:sz w:val="32"/>
          <w:szCs w:val="32"/>
        </w:rPr>
      </w:pPr>
      <w:r>
        <w:rPr>
          <w:rFonts w:hint="eastAsia" w:eastAsia="黑体"/>
          <w:sz w:val="32"/>
          <w:szCs w:val="32"/>
        </w:rPr>
        <w:t>三、政府性基金预算支出情况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本单位无政府性基金预算支出。</w:t>
      </w:r>
    </w:p>
    <w:p>
      <w:pPr>
        <w:widowControl/>
        <w:spacing w:line="600" w:lineRule="exact"/>
        <w:ind w:right="138" w:rightChars="66" w:firstLine="640" w:firstLineChars="200"/>
        <w:jc w:val="left"/>
        <w:rPr>
          <w:rFonts w:eastAsia="黑体"/>
          <w:sz w:val="32"/>
          <w:szCs w:val="32"/>
        </w:rPr>
      </w:pPr>
      <w:r>
        <w:rPr>
          <w:rFonts w:hint="eastAsia" w:eastAsia="黑体"/>
          <w:sz w:val="32"/>
          <w:szCs w:val="32"/>
        </w:rPr>
        <w:t>四、国有资本经营预算支出情况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本单位无国有资本经营预算支出。</w:t>
      </w:r>
    </w:p>
    <w:p>
      <w:pPr>
        <w:widowControl/>
        <w:spacing w:line="600" w:lineRule="exact"/>
        <w:ind w:right="138" w:rightChars="66" w:firstLine="640" w:firstLineChars="200"/>
        <w:jc w:val="left"/>
        <w:rPr>
          <w:rFonts w:eastAsia="黑体"/>
          <w:sz w:val="32"/>
          <w:szCs w:val="32"/>
        </w:rPr>
      </w:pPr>
      <w:r>
        <w:rPr>
          <w:rFonts w:hint="eastAsia" w:eastAsia="黑体"/>
          <w:sz w:val="32"/>
          <w:szCs w:val="32"/>
        </w:rPr>
        <w:t>五、社会保险基金预算支出情况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本单位无社会保险基金预算支出。</w:t>
      </w:r>
    </w:p>
    <w:p>
      <w:pPr>
        <w:widowControl/>
        <w:spacing w:line="600" w:lineRule="exact"/>
        <w:ind w:right="138" w:rightChars="66" w:firstLine="640" w:firstLineChars="200"/>
        <w:jc w:val="left"/>
        <w:rPr>
          <w:rFonts w:eastAsia="黑体"/>
          <w:sz w:val="32"/>
          <w:szCs w:val="32"/>
        </w:rPr>
      </w:pPr>
      <w:r>
        <w:rPr>
          <w:rFonts w:hint="eastAsia" w:eastAsia="黑体"/>
          <w:sz w:val="32"/>
          <w:szCs w:val="32"/>
        </w:rPr>
        <w:t>六、单位整体支出绩效情况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 xml:space="preserve">我院2020年的单位整体支出绩效目标，主要是按照湖南省地质院年初下达的工作任务、主要经济指标和湖南省财政厅批复的财政预算控制数进行考核的，一年来，在院党总支、行政领导的正确领导下，通过全院职工的共同努力，较好地完成了年初工作任务和经济指标，做好了地勘单位改革的资产清查等后续工作，按照湖南省地质院的要求，对院属企业进行了“关停并转”等移交工作，确保了离退休人员、在职职工队伍的和谐稳定，全年完成事业经营收入205.44万元（不含下属企业收入41.50万元），实现事业经营利润0.47万元，保证了国有资产保值增值，整体支出绩效自评得分96.40分。 </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1.2020年预算编制情况。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我院按照湖南省地质院下达的湖南省财政厅预算控制数、预算管理政策基本要求和我院实际情况，编制了2020年部门预算，2020年初，预算总收入960.70万元（其中：财政预算收入714.74万元，事业收入245.96万元），预算总支出960.70万元（其中：财政预算支出714.74万元，事业支出245.96万元）。</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我院根据湖南省地质院</w:t>
      </w:r>
      <w:r>
        <w:rPr>
          <w:rFonts w:ascii="仿宋" w:hAnsi="仿宋" w:eastAsia="仿宋"/>
          <w:sz w:val="32"/>
          <w:szCs w:val="32"/>
        </w:rPr>
        <w:t>下达的工作任务，围绕部门职能职责</w:t>
      </w:r>
      <w:r>
        <w:rPr>
          <w:rFonts w:hint="eastAsia" w:ascii="仿宋" w:hAnsi="仿宋" w:eastAsia="仿宋"/>
          <w:sz w:val="32"/>
          <w:szCs w:val="32"/>
        </w:rPr>
        <w:t>，</w:t>
      </w:r>
      <w:r>
        <w:rPr>
          <w:rFonts w:ascii="仿宋" w:hAnsi="仿宋" w:eastAsia="仿宋"/>
          <w:sz w:val="32"/>
          <w:szCs w:val="32"/>
        </w:rPr>
        <w:t xml:space="preserve">制定了 </w:t>
      </w:r>
      <w:r>
        <w:rPr>
          <w:rFonts w:hint="eastAsia" w:ascii="仿宋" w:hAnsi="仿宋" w:eastAsia="仿宋"/>
          <w:sz w:val="32"/>
          <w:szCs w:val="32"/>
        </w:rPr>
        <w:t>2020</w:t>
      </w:r>
      <w:r>
        <w:rPr>
          <w:rFonts w:ascii="仿宋" w:hAnsi="仿宋" w:eastAsia="仿宋"/>
          <w:sz w:val="32"/>
          <w:szCs w:val="32"/>
        </w:rPr>
        <w:t>年的部门整体支出绩效目标。绩效指标包括总体绩效目标和具体绩效目标，</w:t>
      </w:r>
      <w:r>
        <w:rPr>
          <w:rFonts w:hint="eastAsia" w:ascii="仿宋" w:hAnsi="仿宋" w:eastAsia="仿宋"/>
          <w:sz w:val="32"/>
          <w:szCs w:val="32"/>
        </w:rPr>
        <w:t>分到各部门科室，</w:t>
      </w:r>
      <w:r>
        <w:rPr>
          <w:rFonts w:ascii="仿宋" w:hAnsi="仿宋" w:eastAsia="仿宋"/>
          <w:sz w:val="32"/>
          <w:szCs w:val="32"/>
        </w:rPr>
        <w:t>各项绩效指标全面涵盖了的职能职责、工作，且具体明确，指标数据和完成水平一应俱全， 履职效果可衡量考核。</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2.2020年度预算执行、项目管理、资产管理情况。</w:t>
      </w:r>
    </w:p>
    <w:p>
      <w:pPr>
        <w:widowControl/>
        <w:spacing w:line="600" w:lineRule="exact"/>
        <w:ind w:right="138" w:rightChars="66" w:firstLine="640" w:firstLineChars="200"/>
        <w:jc w:val="left"/>
        <w:rPr>
          <w:rFonts w:ascii="仿宋" w:hAnsi="仿宋" w:eastAsia="仿宋"/>
          <w:sz w:val="32"/>
          <w:szCs w:val="32"/>
        </w:rPr>
      </w:pPr>
      <w:r>
        <w:rPr>
          <w:rFonts w:ascii="仿宋" w:hAnsi="仿宋" w:eastAsia="仿宋"/>
          <w:sz w:val="32"/>
          <w:szCs w:val="32"/>
        </w:rPr>
        <w:t>我</w:t>
      </w:r>
      <w:r>
        <w:rPr>
          <w:rFonts w:hint="eastAsia" w:ascii="仿宋" w:hAnsi="仿宋" w:eastAsia="仿宋"/>
          <w:sz w:val="32"/>
          <w:szCs w:val="32"/>
        </w:rPr>
        <w:t>院</w:t>
      </w:r>
      <w:r>
        <w:rPr>
          <w:rFonts w:ascii="仿宋" w:hAnsi="仿宋" w:eastAsia="仿宋"/>
          <w:sz w:val="32"/>
          <w:szCs w:val="32"/>
        </w:rPr>
        <w:t>严格执行</w:t>
      </w:r>
      <w:r>
        <w:rPr>
          <w:rFonts w:hint="eastAsia" w:ascii="仿宋" w:hAnsi="仿宋" w:eastAsia="仿宋"/>
          <w:sz w:val="32"/>
          <w:szCs w:val="32"/>
        </w:rPr>
        <w:t>预算</w:t>
      </w:r>
      <w:r>
        <w:rPr>
          <w:rFonts w:ascii="仿宋" w:hAnsi="仿宋" w:eastAsia="仿宋"/>
          <w:sz w:val="32"/>
          <w:szCs w:val="32"/>
        </w:rPr>
        <w:t>管理，</w:t>
      </w:r>
      <w:r>
        <w:rPr>
          <w:rFonts w:hint="eastAsia" w:ascii="仿宋" w:hAnsi="仿宋" w:eastAsia="仿宋"/>
          <w:sz w:val="32"/>
          <w:szCs w:val="32"/>
        </w:rPr>
        <w:t>特别强调对</w:t>
      </w:r>
      <w:r>
        <w:rPr>
          <w:rFonts w:ascii="仿宋" w:hAnsi="仿宋" w:eastAsia="仿宋"/>
          <w:sz w:val="32"/>
          <w:szCs w:val="32"/>
        </w:rPr>
        <w:t>“三公经费”预算</w:t>
      </w:r>
      <w:r>
        <w:rPr>
          <w:rFonts w:hint="eastAsia" w:ascii="仿宋" w:hAnsi="仿宋" w:eastAsia="仿宋"/>
          <w:sz w:val="32"/>
          <w:szCs w:val="32"/>
        </w:rPr>
        <w:t>的严格管理和项目管理</w:t>
      </w:r>
      <w:r>
        <w:rPr>
          <w:rFonts w:ascii="仿宋" w:hAnsi="仿宋" w:eastAsia="仿宋"/>
          <w:sz w:val="32"/>
          <w:szCs w:val="32"/>
        </w:rPr>
        <w:t>，部门预算</w:t>
      </w:r>
      <w:r>
        <w:rPr>
          <w:rFonts w:hint="eastAsia" w:ascii="仿宋" w:hAnsi="仿宋" w:eastAsia="仿宋"/>
          <w:sz w:val="32"/>
          <w:szCs w:val="32"/>
        </w:rPr>
        <w:t>按照要求</w:t>
      </w:r>
      <w:r>
        <w:rPr>
          <w:rFonts w:ascii="仿宋" w:hAnsi="仿宋" w:eastAsia="仿宋"/>
          <w:sz w:val="32"/>
          <w:szCs w:val="32"/>
        </w:rPr>
        <w:t>全面向社会</w:t>
      </w:r>
      <w:r>
        <w:rPr>
          <w:rFonts w:hint="eastAsia" w:ascii="仿宋" w:hAnsi="仿宋" w:eastAsia="仿宋"/>
          <w:sz w:val="32"/>
          <w:szCs w:val="32"/>
        </w:rPr>
        <w:t>公开</w:t>
      </w:r>
      <w:r>
        <w:rPr>
          <w:rFonts w:ascii="仿宋" w:hAnsi="仿宋" w:eastAsia="仿宋"/>
          <w:sz w:val="32"/>
          <w:szCs w:val="32"/>
        </w:rPr>
        <w:t xml:space="preserve">。 </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1）2020年末，实际预算收入992.18万元（其中：财政预算收入714.74万元，项目收入72万元；事业收入205.49万元），年末预算收入比年初预算收入增加31.48万元(其中：财政预算收入增加项目收入72万元，事业收入减少40.52万元)，2020年末，实际预算支出991.71万元（其中：财政预算支出714.74万元，项目支出72万元，事业支出204.97万元），年末实际预算支出比年初预算支出增加31.01万元(其中：增加财政预算项目支出72万元，事业支出减少40.99万元)。</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（2）项目管理情况：湖南省地质院根据我院改革实际情况，年内安排了地勘改革发展资金费用72万元，用于医疗大楼、行政大楼的维修维护及消防安全设施整改。我院按照预算批复数，进行了</w:t>
      </w:r>
      <w:r>
        <w:rPr>
          <w:rFonts w:ascii="仿宋" w:hAnsi="仿宋" w:eastAsia="仿宋"/>
          <w:sz w:val="32"/>
          <w:szCs w:val="32"/>
        </w:rPr>
        <w:t>项目申报、提交申报资料，按照批复程序及权限逐级进行批复</w:t>
      </w:r>
      <w:r>
        <w:rPr>
          <w:rFonts w:hint="eastAsia" w:ascii="仿宋" w:hAnsi="仿宋" w:eastAsia="仿宋"/>
          <w:sz w:val="32"/>
          <w:szCs w:val="32"/>
        </w:rPr>
        <w:t>，</w:t>
      </w:r>
      <w:r>
        <w:rPr>
          <w:rFonts w:ascii="仿宋" w:hAnsi="仿宋" w:eastAsia="仿宋"/>
          <w:sz w:val="32"/>
          <w:szCs w:val="32"/>
        </w:rPr>
        <w:t>全程监察项目施工状况</w:t>
      </w:r>
      <w:r>
        <w:rPr>
          <w:rFonts w:hint="eastAsia" w:ascii="仿宋" w:hAnsi="仿宋" w:eastAsia="仿宋"/>
          <w:sz w:val="32"/>
          <w:szCs w:val="32"/>
        </w:rPr>
        <w:t>，</w:t>
      </w:r>
      <w:r>
        <w:rPr>
          <w:rFonts w:ascii="仿宋" w:hAnsi="仿宋" w:eastAsia="仿宋"/>
          <w:sz w:val="32"/>
          <w:szCs w:val="32"/>
        </w:rPr>
        <w:t>招标、开标、评标等程序规范，在项目实施过程中，加强对项目的监督力度</w:t>
      </w:r>
      <w:r>
        <w:rPr>
          <w:rFonts w:hint="eastAsia" w:ascii="仿宋" w:hAnsi="仿宋" w:eastAsia="仿宋"/>
          <w:sz w:val="32"/>
          <w:szCs w:val="32"/>
        </w:rPr>
        <w:t>，</w:t>
      </w:r>
      <w:r>
        <w:rPr>
          <w:rFonts w:ascii="仿宋" w:hAnsi="仿宋" w:eastAsia="仿宋"/>
          <w:sz w:val="32"/>
          <w:szCs w:val="32"/>
        </w:rPr>
        <w:t>项目竣工后</w:t>
      </w:r>
      <w:r>
        <w:rPr>
          <w:rFonts w:hint="eastAsia" w:ascii="仿宋" w:hAnsi="仿宋" w:eastAsia="仿宋"/>
          <w:sz w:val="32"/>
          <w:szCs w:val="32"/>
        </w:rPr>
        <w:t>，</w:t>
      </w:r>
      <w:r>
        <w:rPr>
          <w:rFonts w:ascii="仿宋" w:hAnsi="仿宋" w:eastAsia="仿宋"/>
          <w:sz w:val="32"/>
          <w:szCs w:val="32"/>
        </w:rPr>
        <w:t>在规定时间内及 时办理竣工决算和验收，确保单位建设项目竣工验收和移交过程合法合规</w:t>
      </w:r>
      <w:r>
        <w:rPr>
          <w:rFonts w:hint="eastAsia" w:ascii="仿宋" w:hAnsi="仿宋" w:eastAsia="仿宋"/>
          <w:sz w:val="32"/>
          <w:szCs w:val="32"/>
        </w:rPr>
        <w:t>，项目在年内完成，没有超预算资金。</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资产管理</w:t>
      </w:r>
      <w:r>
        <w:rPr>
          <w:rFonts w:hint="eastAsia" w:ascii="仿宋" w:hAnsi="仿宋" w:eastAsia="仿宋"/>
          <w:sz w:val="32"/>
          <w:szCs w:val="32"/>
        </w:rPr>
        <w:t>情况：我院根据湖南省地质院下发的《湖南省地质院事业单位资产购置、处置管理暂行办法》的规定</w:t>
      </w:r>
      <w:r>
        <w:rPr>
          <w:rFonts w:ascii="仿宋" w:hAnsi="仿宋" w:eastAsia="仿宋"/>
          <w:sz w:val="32"/>
          <w:szCs w:val="32"/>
        </w:rPr>
        <w:t>进行资产</w:t>
      </w:r>
      <w:r>
        <w:rPr>
          <w:rFonts w:hint="eastAsia" w:ascii="仿宋" w:hAnsi="仿宋" w:eastAsia="仿宋"/>
          <w:sz w:val="32"/>
          <w:szCs w:val="32"/>
        </w:rPr>
        <w:t>管理，</w:t>
      </w:r>
      <w:r>
        <w:rPr>
          <w:rFonts w:ascii="仿宋" w:hAnsi="仿宋" w:eastAsia="仿宋"/>
          <w:sz w:val="32"/>
          <w:szCs w:val="32"/>
        </w:rPr>
        <w:t>建立</w:t>
      </w:r>
      <w:r>
        <w:rPr>
          <w:rFonts w:hint="eastAsia" w:ascii="仿宋" w:hAnsi="仿宋" w:eastAsia="仿宋"/>
          <w:sz w:val="32"/>
          <w:szCs w:val="32"/>
        </w:rPr>
        <w:t>了</w:t>
      </w:r>
      <w:r>
        <w:rPr>
          <w:rFonts w:ascii="仿宋" w:hAnsi="仿宋" w:eastAsia="仿宋"/>
          <w:sz w:val="32"/>
          <w:szCs w:val="32"/>
        </w:rPr>
        <w:t>资产管理制度，</w:t>
      </w:r>
      <w:r>
        <w:rPr>
          <w:rFonts w:hint="eastAsia" w:ascii="仿宋" w:hAnsi="仿宋" w:eastAsia="仿宋"/>
          <w:sz w:val="32"/>
          <w:szCs w:val="32"/>
        </w:rPr>
        <w:t>用于</w:t>
      </w:r>
      <w:r>
        <w:rPr>
          <w:rFonts w:ascii="仿宋" w:hAnsi="仿宋" w:eastAsia="仿宋"/>
          <w:sz w:val="32"/>
          <w:szCs w:val="32"/>
        </w:rPr>
        <w:t>监督资产日常管理工作，资产管理人员每年</w:t>
      </w:r>
      <w:r>
        <w:rPr>
          <w:rFonts w:hint="eastAsia" w:ascii="仿宋" w:hAnsi="仿宋" w:eastAsia="仿宋"/>
          <w:sz w:val="32"/>
          <w:szCs w:val="32"/>
        </w:rPr>
        <w:t>两次</w:t>
      </w:r>
      <w:r>
        <w:rPr>
          <w:rFonts w:ascii="仿宋" w:hAnsi="仿宋" w:eastAsia="仿宋"/>
          <w:sz w:val="32"/>
          <w:szCs w:val="32"/>
        </w:rPr>
        <w:t>定期对本单位所有的财产物资进行清理盘点，做到账账相符，</w:t>
      </w:r>
      <w:r>
        <w:rPr>
          <w:rFonts w:hint="eastAsia" w:ascii="仿宋" w:hAnsi="仿宋" w:eastAsia="仿宋"/>
          <w:sz w:val="32"/>
          <w:szCs w:val="32"/>
        </w:rPr>
        <w:t>账实相符，2020年我院没有</w:t>
      </w:r>
      <w:r>
        <w:rPr>
          <w:rFonts w:ascii="仿宋" w:hAnsi="仿宋" w:eastAsia="仿宋"/>
          <w:sz w:val="32"/>
          <w:szCs w:val="32"/>
        </w:rPr>
        <w:t>资产处置</w:t>
      </w:r>
      <w:r>
        <w:rPr>
          <w:rFonts w:hint="eastAsia" w:ascii="仿宋" w:hAnsi="仿宋" w:eastAsia="仿宋"/>
          <w:sz w:val="32"/>
          <w:szCs w:val="32"/>
        </w:rPr>
        <w:t>情况</w:t>
      </w:r>
      <w:r>
        <w:rPr>
          <w:rFonts w:ascii="仿宋" w:hAnsi="仿宋" w:eastAsia="仿宋"/>
          <w:sz w:val="32"/>
          <w:szCs w:val="32"/>
        </w:rPr>
        <w:t>。</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3.“三公经费”管理情况。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2020年我院“三公经费”年初预算1.80万元，其中：公务接待费,0.90万元，公务用车0.90万元，年末实际1.80万元，其中：公务接待费用0.90万元，公务用车0.90万元，没有超预算。</w:t>
      </w:r>
    </w:p>
    <w:p>
      <w:pPr>
        <w:spacing w:line="600" w:lineRule="exact"/>
        <w:ind w:left="640" w:right="138" w:rightChars="66"/>
        <w:rPr>
          <w:rFonts w:ascii="楷体" w:hAnsi="楷体" w:eastAsia="楷体"/>
          <w:b/>
          <w:sz w:val="32"/>
          <w:szCs w:val="32"/>
        </w:rPr>
      </w:pPr>
      <w:r>
        <w:rPr>
          <w:rFonts w:hint="eastAsia" w:ascii="楷体" w:hAnsi="楷体" w:eastAsia="楷体"/>
          <w:b/>
          <w:sz w:val="32"/>
          <w:szCs w:val="32"/>
        </w:rPr>
        <w:t>4.单位管理效率、履职效能、社会效应、可持续发展能</w:t>
      </w:r>
    </w:p>
    <w:p>
      <w:pPr>
        <w:spacing w:line="600" w:lineRule="exact"/>
        <w:ind w:right="138" w:rightChars="66"/>
        <w:rPr>
          <w:rFonts w:ascii="楷体" w:hAnsi="楷体" w:eastAsia="楷体"/>
          <w:b/>
          <w:sz w:val="32"/>
          <w:szCs w:val="32"/>
        </w:rPr>
      </w:pPr>
      <w:r>
        <w:rPr>
          <w:rFonts w:hint="eastAsia" w:ascii="楷体" w:hAnsi="楷体" w:eastAsia="楷体"/>
          <w:b/>
          <w:sz w:val="32"/>
          <w:szCs w:val="32"/>
        </w:rPr>
        <w:t>力情况。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2020年，我院按时完成了湖南省地质院下达的工作任务和经济指标，改革期间保持了职工队伍的和谐稳定，单位管理效率、履职效能、社会效应良好，因我院改革，医疗业务职能移交社会，人员划拨到湖南省地矿医院，剩余人员待第二批改革，因此，我院没有行业发展规划和可持续发展能力。</w:t>
      </w:r>
    </w:p>
    <w:p>
      <w:pPr>
        <w:widowControl/>
        <w:spacing w:line="600" w:lineRule="exact"/>
        <w:ind w:right="138" w:rightChars="66" w:firstLine="640" w:firstLineChars="200"/>
        <w:jc w:val="left"/>
        <w:rPr>
          <w:rFonts w:eastAsia="黑体"/>
          <w:sz w:val="32"/>
          <w:szCs w:val="32"/>
        </w:rPr>
      </w:pPr>
      <w:r>
        <w:rPr>
          <w:rFonts w:hint="eastAsia" w:eastAsia="黑体"/>
          <w:sz w:val="32"/>
          <w:szCs w:val="32"/>
        </w:rPr>
        <w:t>七、存在的问题及原因分析</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预算编制不够精确，绩效性有待加强</w:t>
      </w:r>
      <w:r>
        <w:rPr>
          <w:rFonts w:hint="eastAsia" w:ascii="仿宋" w:hAnsi="仿宋" w:eastAsia="仿宋"/>
          <w:sz w:val="32"/>
          <w:szCs w:val="32"/>
        </w:rPr>
        <w:t>，主要是各科室的预算不细致、精确，都由院财务科编制，存在科目之间调整情况</w:t>
      </w:r>
      <w:r>
        <w:rPr>
          <w:rFonts w:ascii="仿宋" w:hAnsi="仿宋" w:eastAsia="仿宋"/>
          <w:sz w:val="32"/>
          <w:szCs w:val="32"/>
        </w:rPr>
        <w:t>。</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项目的监督管理还需进一步加强，</w:t>
      </w:r>
      <w:r>
        <w:rPr>
          <w:rFonts w:hint="eastAsia" w:ascii="仿宋" w:hAnsi="仿宋" w:eastAsia="仿宋"/>
          <w:sz w:val="32"/>
          <w:szCs w:val="32"/>
        </w:rPr>
        <w:t>主要是年初没有安排项目预算，年中，湖南省地质院根据我院实际情况，安排了72万元的地勘改革发展资金，用于对行政大楼、医疗大楼的消防整改及维修，在</w:t>
      </w:r>
      <w:r>
        <w:rPr>
          <w:rFonts w:ascii="仿宋" w:hAnsi="仿宋" w:eastAsia="仿宋"/>
          <w:sz w:val="32"/>
          <w:szCs w:val="32"/>
        </w:rPr>
        <w:t>项目的</w:t>
      </w:r>
      <w:r>
        <w:rPr>
          <w:rFonts w:hint="eastAsia" w:ascii="仿宋" w:hAnsi="仿宋" w:eastAsia="仿宋"/>
          <w:sz w:val="32"/>
          <w:szCs w:val="32"/>
        </w:rPr>
        <w:t>实施</w:t>
      </w:r>
      <w:r>
        <w:rPr>
          <w:rFonts w:ascii="仿宋" w:hAnsi="仿宋" w:eastAsia="仿宋"/>
          <w:sz w:val="32"/>
          <w:szCs w:val="32"/>
        </w:rPr>
        <w:t>过程中</w:t>
      </w:r>
      <w:r>
        <w:rPr>
          <w:rFonts w:hint="eastAsia" w:ascii="仿宋" w:hAnsi="仿宋" w:eastAsia="仿宋"/>
          <w:sz w:val="32"/>
          <w:szCs w:val="32"/>
        </w:rPr>
        <w:t>存在管理不及时到位情况</w:t>
      </w:r>
      <w:r>
        <w:rPr>
          <w:rFonts w:ascii="仿宋" w:hAnsi="仿宋" w:eastAsia="仿宋"/>
          <w:sz w:val="32"/>
          <w:szCs w:val="32"/>
        </w:rPr>
        <w:t>。</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内控制度执行有待进一步加强，</w:t>
      </w:r>
      <w:r>
        <w:rPr>
          <w:rFonts w:hint="eastAsia" w:ascii="仿宋" w:hAnsi="仿宋" w:eastAsia="仿宋"/>
          <w:sz w:val="32"/>
          <w:szCs w:val="32"/>
        </w:rPr>
        <w:t>没有</w:t>
      </w:r>
      <w:r>
        <w:rPr>
          <w:rFonts w:ascii="仿宋" w:hAnsi="仿宋" w:eastAsia="仿宋"/>
          <w:sz w:val="32"/>
          <w:szCs w:val="32"/>
        </w:rPr>
        <w:t>涵盖所有重要业务，财务管理存在不足，</w:t>
      </w:r>
      <w:r>
        <w:rPr>
          <w:rFonts w:hint="eastAsia" w:ascii="仿宋" w:hAnsi="仿宋" w:eastAsia="仿宋"/>
          <w:sz w:val="32"/>
          <w:szCs w:val="32"/>
        </w:rPr>
        <w:t>实物</w:t>
      </w:r>
      <w:r>
        <w:rPr>
          <w:rFonts w:ascii="仿宋" w:hAnsi="仿宋" w:eastAsia="仿宋"/>
          <w:sz w:val="32"/>
          <w:szCs w:val="32"/>
        </w:rPr>
        <w:t>资产管理</w:t>
      </w:r>
      <w:r>
        <w:rPr>
          <w:rFonts w:hint="eastAsia" w:ascii="仿宋" w:hAnsi="仿宋" w:eastAsia="仿宋"/>
          <w:sz w:val="32"/>
          <w:szCs w:val="32"/>
        </w:rPr>
        <w:t>不细致，水平</w:t>
      </w:r>
      <w:r>
        <w:rPr>
          <w:rFonts w:ascii="仿宋" w:hAnsi="仿宋" w:eastAsia="仿宋"/>
          <w:sz w:val="32"/>
          <w:szCs w:val="32"/>
        </w:rPr>
        <w:t>有</w:t>
      </w:r>
      <w:r>
        <w:rPr>
          <w:rFonts w:hint="eastAsia" w:ascii="仿宋" w:hAnsi="仿宋" w:eastAsia="仿宋"/>
          <w:sz w:val="32"/>
          <w:szCs w:val="32"/>
        </w:rPr>
        <w:t>待提高。</w:t>
      </w:r>
    </w:p>
    <w:p>
      <w:pPr>
        <w:widowControl/>
        <w:spacing w:line="600" w:lineRule="exact"/>
        <w:ind w:right="138" w:rightChars="66" w:firstLine="640" w:firstLineChars="200"/>
        <w:jc w:val="left"/>
        <w:rPr>
          <w:rFonts w:eastAsia="黑体"/>
          <w:sz w:val="32"/>
          <w:szCs w:val="32"/>
        </w:rPr>
      </w:pPr>
      <w:r>
        <w:rPr>
          <w:rFonts w:hint="eastAsia" w:eastAsia="黑体"/>
          <w:sz w:val="32"/>
          <w:szCs w:val="32"/>
        </w:rPr>
        <w:t>八、下一步改进措施</w:t>
      </w:r>
    </w:p>
    <w:p>
      <w:pPr>
        <w:widowControl/>
        <w:spacing w:line="600" w:lineRule="exact"/>
        <w:ind w:right="138" w:rightChars="66" w:firstLine="480" w:firstLineChars="15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细化绩效目标的制定，加强预算编制工作的准确性</w:t>
      </w:r>
      <w:r>
        <w:rPr>
          <w:rFonts w:hint="eastAsia" w:ascii="仿宋" w:hAnsi="仿宋" w:eastAsia="仿宋"/>
          <w:sz w:val="32"/>
          <w:szCs w:val="32"/>
        </w:rPr>
        <w:t>，</w:t>
      </w:r>
      <w:r>
        <w:rPr>
          <w:rFonts w:ascii="仿宋" w:hAnsi="仿宋" w:eastAsia="仿宋"/>
          <w:sz w:val="32"/>
          <w:szCs w:val="32"/>
        </w:rPr>
        <w:t>增强单位的支出责任，提高财政资金的使用效益</w:t>
      </w:r>
      <w:r>
        <w:rPr>
          <w:rFonts w:hint="eastAsia" w:ascii="仿宋" w:hAnsi="仿宋" w:eastAsia="仿宋"/>
          <w:sz w:val="32"/>
          <w:szCs w:val="32"/>
        </w:rPr>
        <w:t>，主要</w:t>
      </w:r>
      <w:r>
        <w:rPr>
          <w:rFonts w:ascii="仿宋" w:hAnsi="仿宋" w:eastAsia="仿宋"/>
          <w:sz w:val="32"/>
          <w:szCs w:val="32"/>
        </w:rPr>
        <w:t>在编制年初预算时，需要综合考虑各方面的因素，尽可能准确地确定相关支出的预算金额。</w:t>
      </w:r>
    </w:p>
    <w:p>
      <w:pPr>
        <w:widowControl/>
        <w:spacing w:line="600" w:lineRule="exact"/>
        <w:ind w:right="138" w:rightChars="66" w:firstLine="480" w:firstLineChars="15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在做好</w:t>
      </w:r>
      <w:r>
        <w:rPr>
          <w:rFonts w:ascii="仿宋" w:hAnsi="仿宋" w:eastAsia="仿宋"/>
          <w:sz w:val="32"/>
          <w:szCs w:val="32"/>
        </w:rPr>
        <w:t>执行内部控制制度</w:t>
      </w:r>
      <w:r>
        <w:rPr>
          <w:rFonts w:hint="eastAsia" w:ascii="仿宋" w:hAnsi="仿宋" w:eastAsia="仿宋"/>
          <w:sz w:val="32"/>
          <w:szCs w:val="32"/>
        </w:rPr>
        <w:t>工作的同时，需要逐步</w:t>
      </w:r>
      <w:r>
        <w:rPr>
          <w:rFonts w:ascii="仿宋" w:hAnsi="仿宋" w:eastAsia="仿宋"/>
          <w:sz w:val="32"/>
          <w:szCs w:val="32"/>
        </w:rPr>
        <w:t>完善内部控制制度</w:t>
      </w:r>
      <w:r>
        <w:rPr>
          <w:rFonts w:hint="eastAsia" w:ascii="仿宋" w:hAnsi="仿宋" w:eastAsia="仿宋"/>
          <w:sz w:val="32"/>
          <w:szCs w:val="32"/>
        </w:rPr>
        <w:t>，</w:t>
      </w:r>
      <w:r>
        <w:rPr>
          <w:rFonts w:ascii="仿宋" w:hAnsi="仿宋" w:eastAsia="仿宋"/>
          <w:sz w:val="32"/>
          <w:szCs w:val="32"/>
        </w:rPr>
        <w:t>采取各种措施确保相关制度得到彻底的</w:t>
      </w:r>
      <w:r>
        <w:rPr>
          <w:rFonts w:hint="eastAsia" w:ascii="仿宋" w:hAnsi="仿宋" w:eastAsia="仿宋"/>
          <w:sz w:val="32"/>
          <w:szCs w:val="32"/>
        </w:rPr>
        <w:t>落实</w:t>
      </w:r>
      <w:r>
        <w:rPr>
          <w:rFonts w:ascii="仿宋" w:hAnsi="仿宋" w:eastAsia="仿宋"/>
          <w:sz w:val="32"/>
          <w:szCs w:val="32"/>
        </w:rPr>
        <w:t>，才能</w:t>
      </w:r>
      <w:r>
        <w:rPr>
          <w:rFonts w:hint="eastAsia" w:ascii="仿宋" w:hAnsi="仿宋" w:eastAsia="仿宋"/>
          <w:sz w:val="32"/>
          <w:szCs w:val="32"/>
        </w:rPr>
        <w:t>提高单位整体的管理水平。</w:t>
      </w:r>
    </w:p>
    <w:p>
      <w:pPr>
        <w:widowControl/>
        <w:spacing w:line="600" w:lineRule="exact"/>
        <w:ind w:right="138" w:rightChars="66" w:firstLine="640" w:firstLineChars="200"/>
        <w:jc w:val="left"/>
        <w:rPr>
          <w:rFonts w:eastAsia="黑体"/>
          <w:sz w:val="32"/>
          <w:szCs w:val="32"/>
        </w:rPr>
      </w:pPr>
      <w:r>
        <w:rPr>
          <w:rFonts w:hint="eastAsia" w:eastAsia="黑体"/>
          <w:sz w:val="32"/>
          <w:szCs w:val="32"/>
        </w:rPr>
        <w:t>九、部门整体支出绩效自评结果拟应用和公开情况</w:t>
      </w:r>
    </w:p>
    <w:p>
      <w:pPr>
        <w:widowControl/>
        <w:spacing w:line="600" w:lineRule="exact"/>
        <w:ind w:right="138" w:rightChars="66" w:firstLine="640" w:firstLineChars="200"/>
        <w:jc w:val="left"/>
        <w:rPr>
          <w:rFonts w:ascii="仿宋" w:hAnsi="仿宋" w:eastAsia="仿宋"/>
          <w:sz w:val="32"/>
          <w:szCs w:val="32"/>
        </w:rPr>
      </w:pPr>
      <w:r>
        <w:rPr>
          <w:rFonts w:hint="eastAsia" w:ascii="仿宋" w:hAnsi="仿宋" w:eastAsia="仿宋"/>
          <w:sz w:val="32"/>
          <w:szCs w:val="32"/>
        </w:rPr>
        <w:t>本单位整体支出绩效自评结果拟应用按照湖南省财政厅的要求，在湖南省地质院网站进行公开。</w:t>
      </w: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ind w:right="138" w:rightChars="66"/>
        <w:jc w:val="left"/>
        <w:rPr>
          <w:rFonts w:eastAsia="黑体"/>
          <w:sz w:val="32"/>
          <w:szCs w:val="32"/>
        </w:rPr>
      </w:pPr>
    </w:p>
    <w:p>
      <w:pPr>
        <w:widowControl/>
        <w:spacing w:line="600" w:lineRule="exact"/>
        <w:jc w:val="left"/>
        <w:rPr>
          <w:rFonts w:eastAsia="黑体"/>
          <w:sz w:val="32"/>
          <w:szCs w:val="32"/>
        </w:rPr>
      </w:pPr>
    </w:p>
    <w:p>
      <w:pPr>
        <w:rPr>
          <w:rFonts w:eastAsia="黑体"/>
          <w:sz w:val="32"/>
          <w:szCs w:val="32"/>
        </w:rPr>
      </w:pPr>
      <w:r>
        <w:rPr>
          <w:rFonts w:hint="eastAsia" w:eastAsia="黑体"/>
          <w:sz w:val="32"/>
          <w:szCs w:val="32"/>
        </w:rPr>
        <w:br w:type="page"/>
      </w:r>
    </w:p>
    <w:p>
      <w:pPr>
        <w:widowControl/>
        <w:spacing w:afterLines="50" w:line="600" w:lineRule="exact"/>
        <w:jc w:val="left"/>
        <w:rPr>
          <w:rFonts w:eastAsia="黑体"/>
          <w:sz w:val="32"/>
          <w:szCs w:val="32"/>
        </w:rPr>
      </w:pPr>
      <w:r>
        <w:rPr>
          <w:rFonts w:hint="eastAsia" w:eastAsia="黑体"/>
          <w:sz w:val="32"/>
          <w:szCs w:val="32"/>
        </w:rPr>
        <w:t>附件</w:t>
      </w:r>
      <w:r>
        <w:rPr>
          <w:rFonts w:eastAsia="黑体"/>
          <w:sz w:val="32"/>
          <w:szCs w:val="32"/>
        </w:rPr>
        <w:t>2</w:t>
      </w:r>
    </w:p>
    <w:p>
      <w:pPr>
        <w:spacing w:afterLines="50" w:line="600" w:lineRule="exact"/>
        <w:jc w:val="center"/>
        <w:rPr>
          <w:rFonts w:eastAsia="仿宋_GB2312"/>
          <w:kern w:val="0"/>
          <w:sz w:val="24"/>
        </w:rPr>
      </w:pPr>
      <w:r>
        <w:rPr>
          <w:rFonts w:eastAsia="方正小标宋_GBK"/>
          <w:kern w:val="0"/>
          <w:sz w:val="36"/>
          <w:szCs w:val="36"/>
        </w:rPr>
        <w:t>2020</w:t>
      </w:r>
      <w:r>
        <w:rPr>
          <w:rFonts w:hint="eastAsia" w:eastAsia="方正小标宋_GBK"/>
          <w:kern w:val="0"/>
          <w:sz w:val="36"/>
          <w:szCs w:val="36"/>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102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58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57%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2019</w:t>
            </w:r>
            <w:r>
              <w:rPr>
                <w:rFonts w:hint="eastAsia" w:eastAsia="仿宋_GB2312"/>
                <w:b/>
                <w:bCs/>
                <w:kern w:val="0"/>
                <w:szCs w:val="21"/>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2.10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1.80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1.80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1.30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0.90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0.90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1.30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0.90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0.90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0.90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0.90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0.90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40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72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xml:space="preserve"> 3、地勘单位改革发展资金</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40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72</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4、省级专项资金（一个专项一行）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104.49</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132.34</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88.56</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2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2.50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1.80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5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5.80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3.70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1.30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1.00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0.90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2020</w:t>
            </w:r>
            <w:r>
              <w:rPr>
                <w:rFonts w:hint="eastAsia" w:eastAsia="仿宋_GB2312"/>
                <w:kern w:val="0"/>
                <w:szCs w:val="21"/>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0</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按照湖南省地质院资产财务部要求，严格控制预算项目支出，“三公经费”预算数比2019年有所减少。　</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jc w:val="left"/>
        <w:rPr>
          <w:rFonts w:eastAsia="仿宋_GB2312"/>
          <w:kern w:val="0"/>
          <w:sz w:val="22"/>
        </w:rPr>
      </w:pPr>
    </w:p>
    <w:p>
      <w:pPr>
        <w:widowControl/>
        <w:spacing w:afterLines="50" w:line="400" w:lineRule="exact"/>
        <w:jc w:val="left"/>
        <w:rPr>
          <w:rFonts w:eastAsia="黑体"/>
          <w:sz w:val="32"/>
          <w:szCs w:val="32"/>
        </w:rPr>
      </w:pPr>
      <w:r>
        <w:rPr>
          <w:rFonts w:hint="eastAsia" w:eastAsia="仿宋_GB2312"/>
          <w:kern w:val="0"/>
          <w:sz w:val="22"/>
        </w:rPr>
        <w:t>填表人：填报日期：联系电话：单位负责人签字：</w:t>
      </w:r>
      <w:r>
        <w:rPr>
          <w:rFonts w:eastAsia="仿宋_GB2312"/>
          <w:kern w:val="0"/>
          <w:sz w:val="22"/>
        </w:rPr>
        <w:br w:type="page"/>
      </w:r>
      <w:r>
        <w:rPr>
          <w:rFonts w:hint="eastAsia" w:eastAsia="黑体"/>
          <w:sz w:val="32"/>
          <w:szCs w:val="32"/>
        </w:rPr>
        <w:t>附件</w:t>
      </w:r>
      <w:r>
        <w:rPr>
          <w:rFonts w:eastAsia="黑体"/>
          <w:sz w:val="32"/>
          <w:szCs w:val="32"/>
        </w:rPr>
        <w:t>3</w:t>
      </w:r>
    </w:p>
    <w:p>
      <w:pPr>
        <w:widowControl/>
        <w:spacing w:afterLines="50" w:line="400" w:lineRule="exact"/>
        <w:jc w:val="center"/>
        <w:rPr>
          <w:rFonts w:eastAsia="方正小标宋_GBK"/>
          <w:color w:val="000000"/>
          <w:kern w:val="0"/>
          <w:sz w:val="36"/>
          <w:szCs w:val="36"/>
        </w:rPr>
      </w:pPr>
      <w:r>
        <w:rPr>
          <w:rFonts w:eastAsia="方正小标宋_GBK"/>
          <w:color w:val="000000"/>
          <w:kern w:val="0"/>
          <w:sz w:val="36"/>
          <w:szCs w:val="36"/>
        </w:rPr>
        <w:t>2020</w:t>
      </w:r>
      <w:r>
        <w:rPr>
          <w:rFonts w:hint="eastAsia" w:eastAsia="方正小标宋_GBK"/>
          <w:color w:val="000000"/>
          <w:kern w:val="0"/>
          <w:sz w:val="36"/>
          <w:szCs w:val="36"/>
        </w:rPr>
        <w:t>年度单位整体支出绩效自评表</w:t>
      </w:r>
    </w:p>
    <w:tbl>
      <w:tblPr>
        <w:tblStyle w:val="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省级预算部门名称</w:t>
            </w:r>
          </w:p>
        </w:tc>
        <w:tc>
          <w:tcPr>
            <w:tcW w:w="8913" w:type="dxa"/>
            <w:gridSpan w:val="9"/>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湖南省有色地质医院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年度预</w:t>
            </w:r>
          </w:p>
          <w:p>
            <w:pPr>
              <w:widowControl/>
              <w:spacing w:line="240" w:lineRule="exact"/>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2033" w:type="dxa"/>
            <w:gridSpan w:val="2"/>
            <w:vAlign w:val="center"/>
          </w:tcPr>
          <w:p>
            <w:pPr>
              <w:spacing w:line="240" w:lineRule="exact"/>
              <w:jc w:val="center"/>
              <w:rPr>
                <w:rFonts w:eastAsia="仿宋_GB2312"/>
                <w:szCs w:val="21"/>
              </w:rPr>
            </w:pPr>
          </w:p>
        </w:tc>
        <w:tc>
          <w:tcPr>
            <w:tcW w:w="1256" w:type="dxa"/>
            <w:vAlign w:val="center"/>
          </w:tcPr>
          <w:p>
            <w:pPr>
              <w:spacing w:line="240" w:lineRule="exact"/>
              <w:jc w:val="center"/>
              <w:rPr>
                <w:rFonts w:eastAsia="仿宋_GB2312"/>
                <w:szCs w:val="21"/>
              </w:rPr>
            </w:pPr>
            <w:r>
              <w:rPr>
                <w:rFonts w:hint="eastAsia" w:eastAsia="仿宋_GB2312"/>
                <w:szCs w:val="21"/>
              </w:rPr>
              <w:t>年初</w:t>
            </w:r>
          </w:p>
          <w:p>
            <w:pPr>
              <w:spacing w:line="240" w:lineRule="exact"/>
              <w:jc w:val="center"/>
              <w:rPr>
                <w:rFonts w:eastAsia="仿宋_GB2312"/>
                <w:szCs w:val="21"/>
              </w:rPr>
            </w:pPr>
            <w:r>
              <w:rPr>
                <w:rFonts w:hint="eastAsia" w:eastAsia="仿宋_GB2312"/>
                <w:szCs w:val="21"/>
              </w:rPr>
              <w:t>预算数</w:t>
            </w:r>
          </w:p>
        </w:tc>
        <w:tc>
          <w:tcPr>
            <w:tcW w:w="1295" w:type="dxa"/>
            <w:gridSpan w:val="2"/>
            <w:vAlign w:val="center"/>
          </w:tcPr>
          <w:p>
            <w:pPr>
              <w:spacing w:line="240" w:lineRule="exact"/>
              <w:jc w:val="center"/>
              <w:rPr>
                <w:rFonts w:eastAsia="仿宋_GB2312"/>
                <w:szCs w:val="21"/>
              </w:rPr>
            </w:pPr>
            <w:r>
              <w:rPr>
                <w:rFonts w:hint="eastAsia" w:eastAsia="仿宋_GB2312"/>
                <w:szCs w:val="21"/>
              </w:rPr>
              <w:t>全年预算数</w:t>
            </w:r>
          </w:p>
        </w:tc>
        <w:tc>
          <w:tcPr>
            <w:tcW w:w="1276" w:type="dxa"/>
            <w:vAlign w:val="center"/>
          </w:tcPr>
          <w:p>
            <w:pPr>
              <w:spacing w:line="240" w:lineRule="exact"/>
              <w:jc w:val="center"/>
              <w:rPr>
                <w:rFonts w:eastAsia="仿宋_GB2312"/>
                <w:szCs w:val="21"/>
              </w:rPr>
            </w:pPr>
            <w:r>
              <w:rPr>
                <w:rFonts w:hint="eastAsia" w:eastAsia="仿宋_GB2312"/>
                <w:szCs w:val="21"/>
              </w:rPr>
              <w:t>全年执行数</w:t>
            </w:r>
          </w:p>
        </w:tc>
        <w:tc>
          <w:tcPr>
            <w:tcW w:w="709" w:type="dxa"/>
            <w:vAlign w:val="center"/>
          </w:tcPr>
          <w:p>
            <w:pPr>
              <w:spacing w:line="240" w:lineRule="exact"/>
              <w:jc w:val="center"/>
              <w:rPr>
                <w:rFonts w:eastAsia="仿宋_GB2312"/>
                <w:szCs w:val="21"/>
              </w:rPr>
            </w:pPr>
            <w:r>
              <w:rPr>
                <w:rFonts w:hint="eastAsia" w:eastAsia="仿宋_GB2312"/>
                <w:szCs w:val="21"/>
              </w:rPr>
              <w:t>分值</w:t>
            </w:r>
          </w:p>
        </w:tc>
        <w:tc>
          <w:tcPr>
            <w:tcW w:w="992" w:type="dxa"/>
            <w:vAlign w:val="center"/>
          </w:tcPr>
          <w:p>
            <w:pPr>
              <w:spacing w:line="240" w:lineRule="exact"/>
              <w:jc w:val="center"/>
              <w:rPr>
                <w:rFonts w:eastAsia="仿宋_GB2312"/>
                <w:szCs w:val="21"/>
              </w:rPr>
            </w:pPr>
            <w:r>
              <w:rPr>
                <w:rFonts w:hint="eastAsia" w:eastAsia="仿宋_GB2312"/>
                <w:szCs w:val="21"/>
              </w:rPr>
              <w:t>执行率</w:t>
            </w:r>
          </w:p>
        </w:tc>
        <w:tc>
          <w:tcPr>
            <w:tcW w:w="1352" w:type="dxa"/>
            <w:vAlign w:val="center"/>
          </w:tcPr>
          <w:p>
            <w:pPr>
              <w:spacing w:line="240" w:lineRule="exact"/>
              <w:jc w:val="center"/>
              <w:rPr>
                <w:rFonts w:eastAsia="仿宋_GB2312"/>
                <w:szCs w:val="21"/>
              </w:rPr>
            </w:pPr>
            <w:r>
              <w:rPr>
                <w:rFonts w:hint="eastAsia"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center"/>
              <w:rPr>
                <w:rFonts w:eastAsia="仿宋_GB2312"/>
                <w:color w:val="000000"/>
                <w:kern w:val="0"/>
                <w:szCs w:val="21"/>
              </w:rPr>
            </w:pPr>
          </w:p>
        </w:tc>
        <w:tc>
          <w:tcPr>
            <w:tcW w:w="2033" w:type="dxa"/>
            <w:gridSpan w:val="2"/>
            <w:vAlign w:val="center"/>
          </w:tcPr>
          <w:p>
            <w:pPr>
              <w:spacing w:line="240" w:lineRule="exact"/>
              <w:jc w:val="center"/>
              <w:rPr>
                <w:rFonts w:eastAsia="仿宋_GB2312"/>
                <w:szCs w:val="21"/>
              </w:rPr>
            </w:pPr>
            <w:r>
              <w:rPr>
                <w:rFonts w:hint="eastAsia" w:eastAsia="仿宋_GB2312"/>
                <w:color w:val="000000"/>
                <w:kern w:val="0"/>
                <w:szCs w:val="21"/>
              </w:rPr>
              <w:t>年度资金总额</w:t>
            </w:r>
          </w:p>
        </w:tc>
        <w:tc>
          <w:tcPr>
            <w:tcW w:w="1256" w:type="dxa"/>
            <w:vAlign w:val="center"/>
          </w:tcPr>
          <w:p>
            <w:pPr>
              <w:spacing w:line="240" w:lineRule="exact"/>
              <w:jc w:val="center"/>
              <w:rPr>
                <w:rFonts w:eastAsia="仿宋_GB2312"/>
                <w:szCs w:val="21"/>
              </w:rPr>
            </w:pPr>
            <w:r>
              <w:rPr>
                <w:rFonts w:hint="eastAsia" w:eastAsia="仿宋_GB2312"/>
                <w:szCs w:val="21"/>
              </w:rPr>
              <w:t>960.70</w:t>
            </w:r>
          </w:p>
        </w:tc>
        <w:tc>
          <w:tcPr>
            <w:tcW w:w="1295" w:type="dxa"/>
            <w:gridSpan w:val="2"/>
            <w:vAlign w:val="center"/>
          </w:tcPr>
          <w:p>
            <w:pPr>
              <w:spacing w:line="240" w:lineRule="exact"/>
              <w:jc w:val="center"/>
              <w:rPr>
                <w:rFonts w:eastAsia="仿宋_GB2312"/>
                <w:szCs w:val="21"/>
              </w:rPr>
            </w:pPr>
            <w:r>
              <w:rPr>
                <w:rFonts w:hint="eastAsia" w:eastAsia="仿宋_GB2312"/>
                <w:szCs w:val="21"/>
              </w:rPr>
              <w:t>992.18</w:t>
            </w:r>
          </w:p>
        </w:tc>
        <w:tc>
          <w:tcPr>
            <w:tcW w:w="1276" w:type="dxa"/>
            <w:vAlign w:val="center"/>
          </w:tcPr>
          <w:p>
            <w:pPr>
              <w:spacing w:line="240" w:lineRule="exact"/>
              <w:jc w:val="center"/>
              <w:rPr>
                <w:rFonts w:eastAsia="仿宋_GB2312"/>
                <w:szCs w:val="21"/>
              </w:rPr>
            </w:pPr>
            <w:r>
              <w:rPr>
                <w:rFonts w:hint="eastAsia" w:eastAsia="仿宋_GB2312"/>
                <w:szCs w:val="21"/>
              </w:rPr>
              <w:t>992.18</w:t>
            </w:r>
          </w:p>
        </w:tc>
        <w:tc>
          <w:tcPr>
            <w:tcW w:w="709" w:type="dxa"/>
            <w:vAlign w:val="center"/>
          </w:tcPr>
          <w:p>
            <w:pPr>
              <w:spacing w:line="240" w:lineRule="exact"/>
              <w:jc w:val="center"/>
              <w:rPr>
                <w:rFonts w:eastAsia="仿宋_GB2312"/>
                <w:szCs w:val="21"/>
              </w:rPr>
            </w:pPr>
            <w:r>
              <w:rPr>
                <w:rFonts w:eastAsia="仿宋_GB2312"/>
                <w:szCs w:val="21"/>
              </w:rPr>
              <w:t>10</w:t>
            </w:r>
          </w:p>
        </w:tc>
        <w:tc>
          <w:tcPr>
            <w:tcW w:w="992" w:type="dxa"/>
            <w:vAlign w:val="center"/>
          </w:tcPr>
          <w:p>
            <w:pPr>
              <w:spacing w:line="240" w:lineRule="exact"/>
              <w:jc w:val="center"/>
              <w:rPr>
                <w:rFonts w:eastAsia="仿宋_GB2312"/>
                <w:szCs w:val="21"/>
              </w:rPr>
            </w:pPr>
            <w:r>
              <w:rPr>
                <w:rFonts w:hint="eastAsia" w:eastAsia="仿宋_GB2312"/>
                <w:szCs w:val="21"/>
              </w:rPr>
              <w:t>100</w:t>
            </w:r>
          </w:p>
        </w:tc>
        <w:tc>
          <w:tcPr>
            <w:tcW w:w="1352" w:type="dxa"/>
            <w:vAlign w:val="center"/>
          </w:tcPr>
          <w:p>
            <w:pPr>
              <w:spacing w:line="240" w:lineRule="exact"/>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按收入性质分：992.18</w:t>
            </w:r>
          </w:p>
        </w:tc>
        <w:tc>
          <w:tcPr>
            <w:tcW w:w="4329" w:type="dxa"/>
            <w:gridSpan w:val="4"/>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按支出性质分：991.71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其中：一般公共预算：786.74</w:t>
            </w:r>
          </w:p>
        </w:tc>
        <w:tc>
          <w:tcPr>
            <w:tcW w:w="4329" w:type="dxa"/>
            <w:gridSpan w:val="4"/>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其中：基本支出：919.71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政府性基金拨款：</w:t>
            </w:r>
          </w:p>
        </w:tc>
        <w:tc>
          <w:tcPr>
            <w:tcW w:w="4329" w:type="dxa"/>
            <w:gridSpan w:val="4"/>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项目支出：72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纳入专户管理的非税收入拨款：</w:t>
            </w:r>
          </w:p>
        </w:tc>
        <w:tc>
          <w:tcPr>
            <w:tcW w:w="4329" w:type="dxa"/>
            <w:gridSpan w:val="4"/>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其他资金：205.44</w:t>
            </w:r>
          </w:p>
        </w:tc>
        <w:tc>
          <w:tcPr>
            <w:tcW w:w="4329" w:type="dxa"/>
            <w:gridSpan w:val="4"/>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年度总体目标</w:t>
            </w:r>
          </w:p>
        </w:tc>
        <w:tc>
          <w:tcPr>
            <w:tcW w:w="4584" w:type="dxa"/>
            <w:gridSpan w:val="5"/>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预期目标</w:t>
            </w:r>
          </w:p>
        </w:tc>
        <w:tc>
          <w:tcPr>
            <w:tcW w:w="4329" w:type="dxa"/>
            <w:gridSpan w:val="4"/>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4584" w:type="dxa"/>
            <w:gridSpan w:val="5"/>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　960.70　</w:t>
            </w:r>
          </w:p>
        </w:tc>
        <w:tc>
          <w:tcPr>
            <w:tcW w:w="4329" w:type="dxa"/>
            <w:gridSpan w:val="4"/>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992.18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953"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351" w:type="dxa"/>
            <w:gridSpan w:val="2"/>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200"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276" w:type="dxa"/>
            <w:vAlign w:val="center"/>
          </w:tcPr>
          <w:p>
            <w:pPr>
              <w:widowControl/>
              <w:spacing w:line="240" w:lineRule="exact"/>
              <w:rPr>
                <w:rFonts w:eastAsia="仿宋_GB2312"/>
                <w:color w:val="000000"/>
                <w:kern w:val="0"/>
                <w:szCs w:val="21"/>
              </w:rPr>
            </w:pPr>
            <w:r>
              <w:rPr>
                <w:rFonts w:hint="eastAsia" w:eastAsia="仿宋_GB2312"/>
                <w:color w:val="000000"/>
                <w:kern w:val="0"/>
                <w:szCs w:val="21"/>
              </w:rPr>
              <w:t>实际完成值</w:t>
            </w:r>
          </w:p>
        </w:tc>
        <w:tc>
          <w:tcPr>
            <w:tcW w:w="709"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992"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352" w:type="dxa"/>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240" w:lineRule="exact"/>
              <w:jc w:val="center"/>
              <w:rPr>
                <w:rFonts w:eastAsia="仿宋_GB2312"/>
                <w:color w:val="000000"/>
                <w:kern w:val="0"/>
                <w:szCs w:val="21"/>
              </w:rPr>
            </w:pPr>
          </w:p>
          <w:p>
            <w:pPr>
              <w:widowControl/>
              <w:spacing w:line="24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数量指标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：财政预算拨款</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：事业经营收入</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245.90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205.44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4.2</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“疫情”原因，按照省政府要求，减免3个月租金72万元，影响了事业经营收入。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质量指标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：财政预算执行率</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：事业经营收入完成率</w:t>
            </w:r>
          </w:p>
        </w:tc>
        <w:tc>
          <w:tcPr>
            <w:tcW w:w="1200" w:type="dxa"/>
            <w:vAlign w:val="center"/>
          </w:tcPr>
          <w:p>
            <w:pPr>
              <w:widowControl/>
              <w:spacing w:line="240" w:lineRule="exact"/>
              <w:ind w:firstLine="105" w:firstLineChars="50"/>
              <w:jc w:val="left"/>
              <w:rPr>
                <w:rFonts w:eastAsia="仿宋_GB2312"/>
                <w:color w:val="000000"/>
                <w:kern w:val="0"/>
                <w:szCs w:val="21"/>
              </w:rPr>
            </w:pPr>
            <w:r>
              <w:rPr>
                <w:rFonts w:hint="eastAsia" w:eastAsia="仿宋_GB2312"/>
                <w:color w:val="000000"/>
                <w:kern w:val="0"/>
                <w:szCs w:val="21"/>
              </w:rPr>
              <w:t>245.90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205.44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4.2</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“疫情”原因，按照省政府要求，减免3个月租金72万元，影响了事业经营收入完成率。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时效指标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：财政预算指标在规定时间完成</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xml:space="preserve"> 100%</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：事业经营收入在规定时间收回</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84%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4.2</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“疫情”原因，按照省政府要求，减免3个月租金，影响了事业经营收入收回。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成本指标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：财政预算支出控制数</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xml:space="preserve"> 100%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：事业经营支出控制数</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事业经营支出不超支</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全年结余0.47</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widowControl/>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restart"/>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效益指标</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经济效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：财政预算控制数不超支或结余</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780.74</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：事业经营实现利润</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不亏损</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有结余0.47</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社会效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：离退休人员维稳工作</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不越级上访</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没有发生上访事件</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：在职人员改革期间稳定工作</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不越级上访</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没有发生上访事件</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center"/>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生态效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：生态文明宣传工作</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召开2次专题学习宣传会议</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按计划完成</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：办公室垃圾分类工作</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办公室　实施垃圾分类</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按计划完成</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1080" w:type="dxa"/>
            <w:vMerge w:val="continue"/>
            <w:vAlign w:val="center"/>
          </w:tcPr>
          <w:p>
            <w:pPr>
              <w:widowControl/>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vMerge w:val="restart"/>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可持续影响指标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：事业经营业务收入是否按时收回</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年内收回</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按时收回</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：主要岗位人员职业教育培训工作</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年内实施2次以上</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2次以上</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widowControl/>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满意度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w:t>
            </w:r>
          </w:p>
          <w:p>
            <w:pPr>
              <w:widowControl/>
              <w:spacing w:line="24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953" w:type="dxa"/>
            <w:vMerge w:val="restart"/>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1</w:t>
            </w:r>
            <w:r>
              <w:rPr>
                <w:rFonts w:hint="eastAsia" w:eastAsia="仿宋_GB2312"/>
                <w:color w:val="000000"/>
                <w:kern w:val="0"/>
                <w:szCs w:val="21"/>
              </w:rPr>
              <w:t>：离退休人员对单位工作满意度</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90%</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4.5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按考核反馈意见，还有部分离退休人员，对单位工作存在不满意情况，建议做好离退休人员工作，为离退休人办实事。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pPr>
              <w:spacing w:line="240" w:lineRule="exact"/>
              <w:jc w:val="left"/>
              <w:rPr>
                <w:rFonts w:eastAsia="仿宋_GB2312"/>
                <w:color w:val="000000"/>
                <w:kern w:val="0"/>
                <w:szCs w:val="21"/>
              </w:rPr>
            </w:pPr>
          </w:p>
        </w:tc>
        <w:tc>
          <w:tcPr>
            <w:tcW w:w="1080" w:type="dxa"/>
            <w:vMerge w:val="continue"/>
            <w:vAlign w:val="center"/>
          </w:tcPr>
          <w:p>
            <w:pPr>
              <w:spacing w:line="240" w:lineRule="exact"/>
              <w:jc w:val="left"/>
              <w:rPr>
                <w:rFonts w:eastAsia="仿宋_GB2312"/>
                <w:color w:val="000000"/>
                <w:kern w:val="0"/>
                <w:szCs w:val="21"/>
              </w:rPr>
            </w:pPr>
          </w:p>
        </w:tc>
        <w:tc>
          <w:tcPr>
            <w:tcW w:w="953" w:type="dxa"/>
            <w:vMerge w:val="continue"/>
            <w:vAlign w:val="center"/>
          </w:tcPr>
          <w:p>
            <w:pPr>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指标</w:t>
            </w:r>
            <w:r>
              <w:rPr>
                <w:rFonts w:eastAsia="仿宋_GB2312"/>
                <w:color w:val="000000"/>
                <w:kern w:val="0"/>
                <w:szCs w:val="21"/>
              </w:rPr>
              <w:t>2</w:t>
            </w:r>
            <w:r>
              <w:rPr>
                <w:rFonts w:hint="eastAsia" w:eastAsia="仿宋_GB2312"/>
                <w:color w:val="000000"/>
                <w:kern w:val="0"/>
                <w:szCs w:val="21"/>
              </w:rPr>
              <w:t>：在职人员对领导工作作风满意度</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90%</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5</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4.5</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按考核反馈意见，还有部分职工对领导工作不满意，院领导应积极改变工作作风，提高职工认识度。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pPr>
              <w:widowControl/>
              <w:spacing w:line="240" w:lineRule="exact"/>
              <w:jc w:val="left"/>
              <w:rPr>
                <w:rFonts w:eastAsia="仿宋_GB2312"/>
                <w:color w:val="000000"/>
                <w:kern w:val="0"/>
                <w:szCs w:val="21"/>
              </w:rPr>
            </w:pPr>
          </w:p>
        </w:tc>
        <w:tc>
          <w:tcPr>
            <w:tcW w:w="1080" w:type="dxa"/>
            <w:vMerge w:val="continue"/>
            <w:vAlign w:val="center"/>
          </w:tcPr>
          <w:p>
            <w:pPr>
              <w:widowControl/>
              <w:spacing w:line="240" w:lineRule="exact"/>
              <w:jc w:val="left"/>
              <w:rPr>
                <w:rFonts w:eastAsia="仿宋_GB2312"/>
                <w:color w:val="000000"/>
                <w:kern w:val="0"/>
                <w:szCs w:val="21"/>
              </w:rPr>
            </w:pPr>
          </w:p>
        </w:tc>
        <w:tc>
          <w:tcPr>
            <w:tcW w:w="953" w:type="dxa"/>
            <w:vMerge w:val="continue"/>
            <w:vAlign w:val="center"/>
          </w:tcPr>
          <w:p>
            <w:pPr>
              <w:widowControl/>
              <w:spacing w:line="240" w:lineRule="exact"/>
              <w:jc w:val="left"/>
              <w:rPr>
                <w:rFonts w:eastAsia="仿宋_GB2312"/>
                <w:color w:val="000000"/>
                <w:kern w:val="0"/>
                <w:szCs w:val="21"/>
              </w:rPr>
            </w:pPr>
          </w:p>
        </w:tc>
        <w:tc>
          <w:tcPr>
            <w:tcW w:w="1351" w:type="dxa"/>
            <w:gridSpan w:val="2"/>
            <w:vAlign w:val="center"/>
          </w:tcPr>
          <w:p>
            <w:pPr>
              <w:widowControl/>
              <w:spacing w:line="240" w:lineRule="exact"/>
              <w:jc w:val="left"/>
              <w:rPr>
                <w:rFonts w:eastAsia="仿宋_GB2312"/>
                <w:color w:val="000000"/>
                <w:kern w:val="0"/>
                <w:szCs w:val="21"/>
              </w:rPr>
            </w:pPr>
            <w:r>
              <w:rPr>
                <w:rFonts w:eastAsia="仿宋_GB2312"/>
                <w:color w:val="000000"/>
                <w:kern w:val="0"/>
                <w:szCs w:val="21"/>
              </w:rPr>
              <w:t>……</w:t>
            </w:r>
          </w:p>
        </w:tc>
        <w:tc>
          <w:tcPr>
            <w:tcW w:w="1200"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276"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709"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40" w:type="dxa"/>
            <w:gridSpan w:val="7"/>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总分</w:t>
            </w:r>
          </w:p>
        </w:tc>
        <w:tc>
          <w:tcPr>
            <w:tcW w:w="70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100</w:t>
            </w:r>
          </w:p>
        </w:tc>
        <w:tc>
          <w:tcPr>
            <w:tcW w:w="99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96.6</w:t>
            </w:r>
          </w:p>
        </w:tc>
        <w:tc>
          <w:tcPr>
            <w:tcW w:w="1352" w:type="dxa"/>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bl>
    <w:p>
      <w:pPr>
        <w:widowControl/>
        <w:spacing w:line="240" w:lineRule="exact"/>
        <w:jc w:val="left"/>
        <w:rPr>
          <w:rFonts w:eastAsia="仿宋_GB2312"/>
          <w:kern w:val="0"/>
          <w:szCs w:val="21"/>
        </w:rPr>
      </w:pPr>
    </w:p>
    <w:p>
      <w:pPr>
        <w:widowControl/>
        <w:spacing w:line="600" w:lineRule="exact"/>
        <w:jc w:val="left"/>
        <w:rPr>
          <w:rFonts w:eastAsia="黑体"/>
          <w:sz w:val="32"/>
          <w:szCs w:val="32"/>
        </w:rPr>
      </w:pPr>
      <w:r>
        <w:rPr>
          <w:rFonts w:hint="eastAsia" w:eastAsia="仿宋_GB2312"/>
          <w:kern w:val="0"/>
          <w:szCs w:val="21"/>
        </w:rPr>
        <w:t>填表人：填报日期：联系电话：单位负责人签字：</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BF4AB3"/>
    <w:multiLevelType w:val="multilevel"/>
    <w:tmpl w:val="64BF4AB3"/>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2NTI0N2U4ZjAxOGU2NTVlNDViYTFmYWFhNTAwZjUifQ=="/>
  </w:docVars>
  <w:rsids>
    <w:rsidRoot w:val="004506F9"/>
    <w:rsid w:val="00003355"/>
    <w:rsid w:val="0002229B"/>
    <w:rsid w:val="000273BD"/>
    <w:rsid w:val="00035ADA"/>
    <w:rsid w:val="0003694B"/>
    <w:rsid w:val="000415B7"/>
    <w:rsid w:val="00041E3F"/>
    <w:rsid w:val="00055DAA"/>
    <w:rsid w:val="00061F7B"/>
    <w:rsid w:val="00063577"/>
    <w:rsid w:val="000658A3"/>
    <w:rsid w:val="00074155"/>
    <w:rsid w:val="000973B2"/>
    <w:rsid w:val="000A3F69"/>
    <w:rsid w:val="000E6628"/>
    <w:rsid w:val="00103957"/>
    <w:rsid w:val="00104682"/>
    <w:rsid w:val="00117775"/>
    <w:rsid w:val="00120E77"/>
    <w:rsid w:val="001222D0"/>
    <w:rsid w:val="001253B5"/>
    <w:rsid w:val="001306E7"/>
    <w:rsid w:val="00152C6D"/>
    <w:rsid w:val="0015791D"/>
    <w:rsid w:val="00162D39"/>
    <w:rsid w:val="001678BD"/>
    <w:rsid w:val="001A67DB"/>
    <w:rsid w:val="001C3C29"/>
    <w:rsid w:val="001D51E5"/>
    <w:rsid w:val="001E080D"/>
    <w:rsid w:val="001E2674"/>
    <w:rsid w:val="001E53D0"/>
    <w:rsid w:val="001F0C3B"/>
    <w:rsid w:val="00202C82"/>
    <w:rsid w:val="00214427"/>
    <w:rsid w:val="00226CB7"/>
    <w:rsid w:val="00264552"/>
    <w:rsid w:val="00264EF9"/>
    <w:rsid w:val="00265724"/>
    <w:rsid w:val="002741E1"/>
    <w:rsid w:val="0027426B"/>
    <w:rsid w:val="00280A4C"/>
    <w:rsid w:val="00291E78"/>
    <w:rsid w:val="002945E2"/>
    <w:rsid w:val="002949D2"/>
    <w:rsid w:val="002B44BC"/>
    <w:rsid w:val="002C7E57"/>
    <w:rsid w:val="002D3DA8"/>
    <w:rsid w:val="002D614C"/>
    <w:rsid w:val="002E0A30"/>
    <w:rsid w:val="003130C4"/>
    <w:rsid w:val="00316C4B"/>
    <w:rsid w:val="0032192B"/>
    <w:rsid w:val="0034707A"/>
    <w:rsid w:val="003479BD"/>
    <w:rsid w:val="003519E4"/>
    <w:rsid w:val="00357EF1"/>
    <w:rsid w:val="0037197D"/>
    <w:rsid w:val="003768D5"/>
    <w:rsid w:val="003C08AB"/>
    <w:rsid w:val="003C47E6"/>
    <w:rsid w:val="003C4FC2"/>
    <w:rsid w:val="004047B0"/>
    <w:rsid w:val="00416E61"/>
    <w:rsid w:val="0042790C"/>
    <w:rsid w:val="00446D00"/>
    <w:rsid w:val="004506F9"/>
    <w:rsid w:val="00452129"/>
    <w:rsid w:val="0045276E"/>
    <w:rsid w:val="00455732"/>
    <w:rsid w:val="00456FC8"/>
    <w:rsid w:val="0046312D"/>
    <w:rsid w:val="004717A2"/>
    <w:rsid w:val="00473DF3"/>
    <w:rsid w:val="00487911"/>
    <w:rsid w:val="00491741"/>
    <w:rsid w:val="004A7862"/>
    <w:rsid w:val="004B278B"/>
    <w:rsid w:val="004C1787"/>
    <w:rsid w:val="004C6A53"/>
    <w:rsid w:val="00500E5F"/>
    <w:rsid w:val="00502075"/>
    <w:rsid w:val="005122EF"/>
    <w:rsid w:val="0051441A"/>
    <w:rsid w:val="00514B7B"/>
    <w:rsid w:val="00517C33"/>
    <w:rsid w:val="00523644"/>
    <w:rsid w:val="00533A2E"/>
    <w:rsid w:val="0054069E"/>
    <w:rsid w:val="00544866"/>
    <w:rsid w:val="00554C6F"/>
    <w:rsid w:val="0057334D"/>
    <w:rsid w:val="005767CC"/>
    <w:rsid w:val="00590D9F"/>
    <w:rsid w:val="00595D26"/>
    <w:rsid w:val="005A74E6"/>
    <w:rsid w:val="005B1D03"/>
    <w:rsid w:val="005B404E"/>
    <w:rsid w:val="005D4D55"/>
    <w:rsid w:val="005E2CFB"/>
    <w:rsid w:val="005F0514"/>
    <w:rsid w:val="005F3D1C"/>
    <w:rsid w:val="0060089F"/>
    <w:rsid w:val="0060163A"/>
    <w:rsid w:val="0062378F"/>
    <w:rsid w:val="00627A8F"/>
    <w:rsid w:val="00641842"/>
    <w:rsid w:val="00651EEC"/>
    <w:rsid w:val="00657015"/>
    <w:rsid w:val="006832E1"/>
    <w:rsid w:val="00686673"/>
    <w:rsid w:val="00691E8C"/>
    <w:rsid w:val="006940EF"/>
    <w:rsid w:val="006A22C4"/>
    <w:rsid w:val="006A351B"/>
    <w:rsid w:val="006A6053"/>
    <w:rsid w:val="006B0422"/>
    <w:rsid w:val="006B62C2"/>
    <w:rsid w:val="006C1B53"/>
    <w:rsid w:val="006C658C"/>
    <w:rsid w:val="006D41CC"/>
    <w:rsid w:val="006D75A0"/>
    <w:rsid w:val="006D7730"/>
    <w:rsid w:val="006E163B"/>
    <w:rsid w:val="006E5284"/>
    <w:rsid w:val="006F3EB5"/>
    <w:rsid w:val="00702E34"/>
    <w:rsid w:val="00704395"/>
    <w:rsid w:val="007107FD"/>
    <w:rsid w:val="00717621"/>
    <w:rsid w:val="00720FF1"/>
    <w:rsid w:val="00727A53"/>
    <w:rsid w:val="00742776"/>
    <w:rsid w:val="007579BB"/>
    <w:rsid w:val="0078763E"/>
    <w:rsid w:val="00787B42"/>
    <w:rsid w:val="007946DC"/>
    <w:rsid w:val="007B0683"/>
    <w:rsid w:val="007C0FA3"/>
    <w:rsid w:val="007C4539"/>
    <w:rsid w:val="007E5B4C"/>
    <w:rsid w:val="007F15F3"/>
    <w:rsid w:val="007F3657"/>
    <w:rsid w:val="00812AAC"/>
    <w:rsid w:val="00812ED5"/>
    <w:rsid w:val="00824E7E"/>
    <w:rsid w:val="008277D9"/>
    <w:rsid w:val="0084478C"/>
    <w:rsid w:val="00846F7C"/>
    <w:rsid w:val="008500E3"/>
    <w:rsid w:val="008610E0"/>
    <w:rsid w:val="00865AD2"/>
    <w:rsid w:val="0086638C"/>
    <w:rsid w:val="0087034D"/>
    <w:rsid w:val="008805CF"/>
    <w:rsid w:val="008A3E8D"/>
    <w:rsid w:val="008B071F"/>
    <w:rsid w:val="008B3A6D"/>
    <w:rsid w:val="008C0BA5"/>
    <w:rsid w:val="008C30D4"/>
    <w:rsid w:val="008F4C31"/>
    <w:rsid w:val="009237C4"/>
    <w:rsid w:val="00942695"/>
    <w:rsid w:val="00944C48"/>
    <w:rsid w:val="009478CC"/>
    <w:rsid w:val="00950252"/>
    <w:rsid w:val="00956780"/>
    <w:rsid w:val="0096391D"/>
    <w:rsid w:val="00967F5D"/>
    <w:rsid w:val="009A0F95"/>
    <w:rsid w:val="009B3ADF"/>
    <w:rsid w:val="009C3B52"/>
    <w:rsid w:val="009C7753"/>
    <w:rsid w:val="009D398E"/>
    <w:rsid w:val="009E6817"/>
    <w:rsid w:val="009E6E9A"/>
    <w:rsid w:val="009F3CA8"/>
    <w:rsid w:val="00A01D2B"/>
    <w:rsid w:val="00A37728"/>
    <w:rsid w:val="00A42218"/>
    <w:rsid w:val="00A70249"/>
    <w:rsid w:val="00A70B02"/>
    <w:rsid w:val="00A71D9F"/>
    <w:rsid w:val="00A91E48"/>
    <w:rsid w:val="00A92E9F"/>
    <w:rsid w:val="00AA0B10"/>
    <w:rsid w:val="00AD4303"/>
    <w:rsid w:val="00B14015"/>
    <w:rsid w:val="00B14418"/>
    <w:rsid w:val="00B25ED5"/>
    <w:rsid w:val="00B30E62"/>
    <w:rsid w:val="00B33BEA"/>
    <w:rsid w:val="00B44245"/>
    <w:rsid w:val="00B57C9F"/>
    <w:rsid w:val="00B63572"/>
    <w:rsid w:val="00B844E1"/>
    <w:rsid w:val="00B845B3"/>
    <w:rsid w:val="00B85D8B"/>
    <w:rsid w:val="00B862DE"/>
    <w:rsid w:val="00BA3FA0"/>
    <w:rsid w:val="00BB2BEC"/>
    <w:rsid w:val="00BB3C6A"/>
    <w:rsid w:val="00BB4A40"/>
    <w:rsid w:val="00BC6A7F"/>
    <w:rsid w:val="00BD6C3E"/>
    <w:rsid w:val="00BD73CC"/>
    <w:rsid w:val="00BE3674"/>
    <w:rsid w:val="00BE3A55"/>
    <w:rsid w:val="00C10681"/>
    <w:rsid w:val="00C3049A"/>
    <w:rsid w:val="00C31B1E"/>
    <w:rsid w:val="00C375EE"/>
    <w:rsid w:val="00C431CE"/>
    <w:rsid w:val="00C572BC"/>
    <w:rsid w:val="00C77645"/>
    <w:rsid w:val="00C84DDD"/>
    <w:rsid w:val="00CB79F9"/>
    <w:rsid w:val="00CE04C3"/>
    <w:rsid w:val="00CE76A0"/>
    <w:rsid w:val="00D148C6"/>
    <w:rsid w:val="00D17A8A"/>
    <w:rsid w:val="00D27E44"/>
    <w:rsid w:val="00D415BA"/>
    <w:rsid w:val="00D644EE"/>
    <w:rsid w:val="00DB5EEC"/>
    <w:rsid w:val="00DD06FF"/>
    <w:rsid w:val="00DD5FE9"/>
    <w:rsid w:val="00DD78FC"/>
    <w:rsid w:val="00E00C7A"/>
    <w:rsid w:val="00E2354F"/>
    <w:rsid w:val="00E26DCB"/>
    <w:rsid w:val="00E35FD6"/>
    <w:rsid w:val="00E37D6C"/>
    <w:rsid w:val="00E55B68"/>
    <w:rsid w:val="00E67BE6"/>
    <w:rsid w:val="00E8683C"/>
    <w:rsid w:val="00E97CCD"/>
    <w:rsid w:val="00EA2B72"/>
    <w:rsid w:val="00EB1EA7"/>
    <w:rsid w:val="00EB432E"/>
    <w:rsid w:val="00EC4E31"/>
    <w:rsid w:val="00EC5C69"/>
    <w:rsid w:val="00EC6C05"/>
    <w:rsid w:val="00F129DF"/>
    <w:rsid w:val="00F16879"/>
    <w:rsid w:val="00F24A22"/>
    <w:rsid w:val="00F3162F"/>
    <w:rsid w:val="00F74360"/>
    <w:rsid w:val="00F81158"/>
    <w:rsid w:val="00FA6B62"/>
    <w:rsid w:val="00FB462F"/>
    <w:rsid w:val="00FE16FA"/>
    <w:rsid w:val="00FE24F5"/>
    <w:rsid w:val="00FE328A"/>
    <w:rsid w:val="00FE6269"/>
    <w:rsid w:val="00FE7231"/>
    <w:rsid w:val="00FF5CD6"/>
    <w:rsid w:val="033124A2"/>
    <w:rsid w:val="109B5743"/>
    <w:rsid w:val="1B196998"/>
    <w:rsid w:val="1C00080C"/>
    <w:rsid w:val="212D49A1"/>
    <w:rsid w:val="28976D30"/>
    <w:rsid w:val="2C033E10"/>
    <w:rsid w:val="3CFE4F34"/>
    <w:rsid w:val="4656736B"/>
    <w:rsid w:val="59A92F4C"/>
    <w:rsid w:val="5F0D448F"/>
    <w:rsid w:val="61EF128D"/>
    <w:rsid w:val="70A66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97C1-FE56-4118-921E-293F062981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10995</Words>
  <Characters>13795</Characters>
  <Lines>122</Lines>
  <Paragraphs>34</Paragraphs>
  <TotalTime>1</TotalTime>
  <ScaleCrop>false</ScaleCrop>
  <LinksUpToDate>false</LinksUpToDate>
  <CharactersWithSpaces>14731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欧欧</cp:lastModifiedBy>
  <cp:lastPrinted>2021-09-01T02:55:00Z</cp:lastPrinted>
  <dcterms:modified xsi:type="dcterms:W3CDTF">2022-09-09T05:10:51Z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E1F1DCA33C3D4A3FB3E255A7B4A16C18</vt:lpwstr>
  </property>
</Properties>
</file>