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rFonts w:hint="eastAsia" w:eastAsia="黑体"/>
          <w:sz w:val="84"/>
          <w:szCs w:val="84"/>
          <w:lang w:val="en-US" w:eastAsia="zh-CN"/>
        </w:rPr>
      </w:pPr>
      <w:r>
        <w:rPr>
          <w:rFonts w:hint="eastAsia"/>
          <w:sz w:val="84"/>
          <w:szCs w:val="84"/>
        </w:rPr>
        <w:t>2021年度</w:t>
      </w:r>
    </w:p>
    <w:p>
      <w:pPr>
        <w:pStyle w:val="10"/>
        <w:jc w:val="center"/>
        <w:rPr>
          <w:sz w:val="84"/>
          <w:szCs w:val="84"/>
        </w:rPr>
      </w:pPr>
      <w:r>
        <w:rPr>
          <w:rFonts w:hint="eastAsia"/>
          <w:sz w:val="84"/>
          <w:szCs w:val="84"/>
        </w:rPr>
        <w:t>湖南省地质矿产勘查开发局四〇五队部门决算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第一部分湖南省地质矿产勘查开发局四〇五队单位概况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rFonts w:hint="eastAsia"/>
          <w:sz w:val="84"/>
          <w:szCs w:val="84"/>
        </w:rPr>
      </w:pPr>
      <w:r>
        <w:rPr>
          <w:rFonts w:hint="eastAsia"/>
          <w:sz w:val="84"/>
          <w:szCs w:val="84"/>
        </w:rPr>
        <w:t>湖南省地质矿产勘查开发局四〇五队单位概况</w:t>
      </w:r>
    </w:p>
    <w:p>
      <w:pPr>
        <w:pStyle w:val="10"/>
        <w:jc w:val="center"/>
        <w:rPr>
          <w:sz w:val="84"/>
          <w:szCs w:val="84"/>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640" w:firstLineChars="200"/>
        <w:jc w:val="left"/>
        <w:rPr>
          <w:rFonts w:asciiTheme="minorEastAsia" w:hAnsiTheme="minorEastAsia"/>
          <w:sz w:val="32"/>
          <w:szCs w:val="32"/>
        </w:rPr>
      </w:pPr>
      <w:r>
        <w:rPr>
          <w:rFonts w:hint="eastAsia" w:asciiTheme="minorEastAsia" w:hAnsiTheme="minorEastAsia"/>
          <w:sz w:val="32"/>
          <w:szCs w:val="32"/>
        </w:rPr>
        <w:t>（一）湖南省地质矿产勘查开发局四〇五队隶属于湖南省地质院，为省财政二级预算事业单位。</w:t>
      </w:r>
    </w:p>
    <w:p>
      <w:pPr>
        <w:ind w:firstLine="640" w:firstLineChars="200"/>
        <w:jc w:val="left"/>
        <w:rPr>
          <w:rFonts w:asciiTheme="minorEastAsia" w:hAnsiTheme="minorEastAsia"/>
          <w:sz w:val="32"/>
          <w:szCs w:val="32"/>
        </w:rPr>
      </w:pPr>
      <w:r>
        <w:rPr>
          <w:rFonts w:hint="eastAsia" w:asciiTheme="minorEastAsia" w:hAnsiTheme="minorEastAsia"/>
          <w:sz w:val="32"/>
          <w:szCs w:val="32"/>
        </w:rPr>
        <w:t>（二）本单位主要从事地质调查服务，水文地质，区域工程地质调查、环境工程地质调查、地矿资源检测、专业地质技术研究开发、地质灾害防治工程设计与监理、建筑基桩工程施工、物化探钻探、测绘、岩矿鉴定、土壤分析、水样测试、工程地质勘察、工业民用建筑施工，矿业项目投资与管理、矿产资源勘查技术服务、政策允许的矿产品销售等业务。</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ind w:firstLine="640" w:firstLineChars="200"/>
        <w:jc w:val="left"/>
        <w:rPr>
          <w:rFonts w:asciiTheme="minorEastAsia" w:hAnsiTheme="minorEastAsia"/>
          <w:color w:val="FF0000"/>
          <w:sz w:val="32"/>
          <w:szCs w:val="32"/>
        </w:rPr>
      </w:pPr>
      <w:r>
        <w:rPr>
          <w:rFonts w:hint="eastAsia" w:asciiTheme="minorEastAsia" w:hAnsiTheme="minorEastAsia"/>
          <w:bCs/>
          <w:kern w:val="0"/>
          <w:sz w:val="32"/>
          <w:szCs w:val="32"/>
        </w:rPr>
        <w:t>（一）内设机构设置。</w:t>
      </w:r>
      <w:r>
        <w:rPr>
          <w:rFonts w:hint="eastAsia" w:asciiTheme="minorEastAsia" w:hAnsiTheme="minorEastAsia"/>
          <w:sz w:val="32"/>
          <w:szCs w:val="32"/>
        </w:rPr>
        <w:t>湖南省地质矿产勘查开发局四〇五队内设机构包括：职能科室12个，分别是深改办、办公室、党群部、财务资产科、人事教育科、监察室、经营审计科、科技质量办、安全科、物业管理部、工会、团委。经地方政府批准设立的3个队属非注册非盈利事业性质机构，分别是湘西州地质灾害防治技术指导中心、张家界市地质灾害防治技术地质灾害防治救治指导中心、湘西州矿山监测技术服务中心。</w:t>
      </w:r>
    </w:p>
    <w:p>
      <w:pPr>
        <w:ind w:firstLine="640" w:firstLineChars="200"/>
        <w:jc w:val="left"/>
        <w:rPr>
          <w:rFonts w:asciiTheme="minorEastAsia" w:hAnsiTheme="minorEastAsia"/>
          <w:bCs/>
          <w:kern w:val="0"/>
          <w:sz w:val="32"/>
          <w:szCs w:val="32"/>
        </w:rPr>
      </w:pPr>
      <w:r>
        <w:rPr>
          <w:rFonts w:hint="eastAsia" w:asciiTheme="minorEastAsia" w:hAnsiTheme="minorEastAsia"/>
          <w:bCs/>
          <w:kern w:val="0"/>
          <w:sz w:val="32"/>
          <w:szCs w:val="32"/>
        </w:rPr>
        <w:t>（二）决算单位构成。</w:t>
      </w:r>
      <w:r>
        <w:rPr>
          <w:rFonts w:hint="eastAsia" w:asciiTheme="minorEastAsia" w:hAnsiTheme="minorEastAsia"/>
          <w:sz w:val="32"/>
          <w:szCs w:val="32"/>
        </w:rPr>
        <w:t>湖南省地质矿产勘查开发局四〇五队202</w:t>
      </w:r>
      <w:r>
        <w:rPr>
          <w:rFonts w:hint="eastAsia" w:asciiTheme="minorEastAsia" w:hAnsiTheme="minorEastAsia"/>
          <w:sz w:val="32"/>
          <w:szCs w:val="32"/>
          <w:lang w:val="en-US" w:eastAsia="zh-CN"/>
        </w:rPr>
        <w:t>1</w:t>
      </w:r>
      <w:r>
        <w:rPr>
          <w:rFonts w:hint="eastAsia" w:asciiTheme="minorEastAsia" w:hAnsiTheme="minorEastAsia"/>
          <w:sz w:val="32"/>
          <w:szCs w:val="32"/>
        </w:rPr>
        <w:t>年部门决算汇总公开单位构成包括：湖南省地质矿产勘查开发局四〇五队本级，为二级预算单位，没有其他下属预算单位。</w:t>
      </w:r>
    </w:p>
    <w:p>
      <w:pPr>
        <w:widowControl/>
        <w:spacing w:line="600" w:lineRule="exact"/>
        <w:rPr>
          <w:rFonts w:asciiTheme="minorEastAsia" w:hAnsiTheme="minorEastAsia"/>
          <w:b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jc w:val="center"/>
        <w:rPr>
          <w:rFonts w:ascii="黑体" w:hAnsi="黑体" w:eastAsia="黑体"/>
          <w:sz w:val="28"/>
          <w:szCs w:val="28"/>
        </w:rPr>
        <w:sectPr>
          <w:pgSz w:w="16838" w:h="11906" w:orient="landscape"/>
          <w:pgMar w:top="357" w:right="1440" w:bottom="869" w:left="1440" w:header="851" w:footer="992" w:gutter="0"/>
          <w:cols w:space="425" w:num="1"/>
          <w:docGrid w:type="linesAndChars" w:linePitch="312" w:charSpace="0"/>
        </w:sectPr>
      </w:pPr>
      <w:r>
        <w:drawing>
          <wp:inline distT="0" distB="0" distL="114300" distR="114300">
            <wp:extent cx="8639810" cy="6587490"/>
            <wp:effectExtent l="0" t="0" r="1270" b="11430"/>
            <wp:docPr id="7" name="图片 5"/>
            <wp:cNvGraphicFramePr/>
            <a:graphic xmlns:a="http://schemas.openxmlformats.org/drawingml/2006/main">
              <a:graphicData uri="http://schemas.openxmlformats.org/drawingml/2006/picture">
                <pic:pic xmlns:pic="http://schemas.openxmlformats.org/drawingml/2006/picture">
                  <pic:nvPicPr>
                    <pic:cNvPr id="7" name="图片 5"/>
                    <pic:cNvPicPr/>
                  </pic:nvPicPr>
                  <pic:blipFill>
                    <a:blip r:embed="rId4"/>
                    <a:stretch>
                      <a:fillRect/>
                    </a:stretch>
                  </pic:blipFill>
                  <pic:spPr>
                    <a:xfrm>
                      <a:off x="0" y="0"/>
                      <a:ext cx="8639810" cy="6587490"/>
                    </a:xfrm>
                    <a:prstGeom prst="rect">
                      <a:avLst/>
                    </a:prstGeom>
                    <a:noFill/>
                    <a:ln>
                      <a:noFill/>
                    </a:ln>
                  </pic:spPr>
                </pic:pic>
              </a:graphicData>
            </a:graphic>
          </wp:inline>
        </w:drawing>
      </w:r>
    </w:p>
    <w:p>
      <w:pPr>
        <w:widowControl/>
        <w:jc w:val="center"/>
        <w:rPr>
          <w:rFonts w:ascii="Times New Roman" w:hAnsi="Times New Roman" w:eastAsia="黑体" w:cs="Times New Roman"/>
          <w:bCs/>
          <w:kern w:val="0"/>
          <w:sz w:val="32"/>
          <w:szCs w:val="32"/>
        </w:rPr>
      </w:pPr>
      <w:r>
        <w:drawing>
          <wp:inline distT="0" distB="0" distL="114300" distR="114300">
            <wp:extent cx="8639810" cy="6588125"/>
            <wp:effectExtent l="0" t="0" r="1270" b="10795"/>
            <wp:docPr id="5" name="图片 3"/>
            <wp:cNvGraphicFramePr/>
            <a:graphic xmlns:a="http://schemas.openxmlformats.org/drawingml/2006/main">
              <a:graphicData uri="http://schemas.openxmlformats.org/drawingml/2006/picture">
                <pic:pic xmlns:pic="http://schemas.openxmlformats.org/drawingml/2006/picture">
                  <pic:nvPicPr>
                    <pic:cNvPr id="5" name="图片 3"/>
                    <pic:cNvPicPr/>
                  </pic:nvPicPr>
                  <pic:blipFill>
                    <a:blip r:embed="rId5"/>
                    <a:stretch>
                      <a:fillRect/>
                    </a:stretch>
                  </pic:blipFill>
                  <pic:spPr>
                    <a:xfrm>
                      <a:off x="0" y="0"/>
                      <a:ext cx="8639810" cy="6588125"/>
                    </a:xfrm>
                    <a:prstGeom prst="rect">
                      <a:avLst/>
                    </a:prstGeom>
                    <a:noFill/>
                    <a:ln>
                      <a:noFill/>
                    </a:ln>
                  </pic:spPr>
                </pic:pic>
              </a:graphicData>
            </a:graphic>
          </wp:inline>
        </w:drawing>
      </w: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drawing>
          <wp:inline distT="0" distB="0" distL="114300" distR="114300">
            <wp:extent cx="8639810" cy="6588125"/>
            <wp:effectExtent l="0" t="0" r="1270" b="10795"/>
            <wp:docPr id="6" name="图片 4"/>
            <wp:cNvGraphicFramePr/>
            <a:graphic xmlns:a="http://schemas.openxmlformats.org/drawingml/2006/main">
              <a:graphicData uri="http://schemas.openxmlformats.org/drawingml/2006/picture">
                <pic:pic xmlns:pic="http://schemas.openxmlformats.org/drawingml/2006/picture">
                  <pic:nvPicPr>
                    <pic:cNvPr id="6" name="图片 4"/>
                    <pic:cNvPicPr/>
                  </pic:nvPicPr>
                  <pic:blipFill>
                    <a:blip r:embed="rId6"/>
                    <a:stretch>
                      <a:fillRect/>
                    </a:stretch>
                  </pic:blipFill>
                  <pic:spPr>
                    <a:xfrm>
                      <a:off x="0" y="0"/>
                      <a:ext cx="8639810" cy="6588125"/>
                    </a:xfrm>
                    <a:prstGeom prst="rect">
                      <a:avLst/>
                    </a:prstGeom>
                    <a:noFill/>
                    <a:ln>
                      <a:noFill/>
                    </a:ln>
                  </pic:spPr>
                </pic:pic>
              </a:graphicData>
            </a:graphic>
          </wp:inline>
        </w:drawing>
      </w:r>
    </w:p>
    <w:p>
      <w:pPr>
        <w:widowControl/>
        <w:ind w:left="93"/>
        <w:jc w:val="center"/>
        <w:rPr>
          <w:rFonts w:ascii="Times New Roman" w:hAnsi="Times New Roman" w:eastAsia="方正小标宋_GBK" w:cs="Times New Roman"/>
          <w:color w:val="000000"/>
          <w:kern w:val="0"/>
          <w:sz w:val="36"/>
          <w:szCs w:val="21"/>
        </w:rPr>
      </w:pPr>
      <w:r>
        <w:drawing>
          <wp:inline distT="0" distB="0" distL="114300" distR="114300">
            <wp:extent cx="8639810" cy="6588125"/>
            <wp:effectExtent l="0" t="0" r="1270" b="10795"/>
            <wp:docPr id="8" name="图片 6"/>
            <wp:cNvGraphicFramePr/>
            <a:graphic xmlns:a="http://schemas.openxmlformats.org/drawingml/2006/main">
              <a:graphicData uri="http://schemas.openxmlformats.org/drawingml/2006/picture">
                <pic:pic xmlns:pic="http://schemas.openxmlformats.org/drawingml/2006/picture">
                  <pic:nvPicPr>
                    <pic:cNvPr id="8" name="图片 6"/>
                    <pic:cNvPicPr/>
                  </pic:nvPicPr>
                  <pic:blipFill>
                    <a:blip r:embed="rId7"/>
                    <a:stretch>
                      <a:fillRect/>
                    </a:stretch>
                  </pic:blipFill>
                  <pic:spPr>
                    <a:xfrm>
                      <a:off x="0" y="0"/>
                      <a:ext cx="8639810" cy="6588125"/>
                    </a:xfrm>
                    <a:prstGeom prst="rect">
                      <a:avLst/>
                    </a:prstGeom>
                    <a:noFill/>
                    <a:ln>
                      <a:noFill/>
                    </a:ln>
                  </pic:spPr>
                </pic:pic>
              </a:graphicData>
            </a:graphic>
          </wp:inline>
        </w:drawing>
      </w:r>
    </w:p>
    <w:p>
      <w:pPr>
        <w:widowControl/>
        <w:jc w:val="center"/>
        <w:rPr>
          <w:rFonts w:ascii="Times New Roman" w:hAnsi="Times New Roman" w:eastAsia="方正小标宋_GBK" w:cs="Times New Roman"/>
          <w:kern w:val="0"/>
          <w:sz w:val="36"/>
          <w:szCs w:val="36"/>
        </w:rPr>
      </w:pPr>
      <w:bookmarkStart w:id="0" w:name="RANGE!A1:I22"/>
      <w:bookmarkEnd w:id="0"/>
      <w:bookmarkStart w:id="1" w:name="RANGE!A1:F16"/>
      <w:r>
        <w:drawing>
          <wp:inline distT="0" distB="0" distL="114300" distR="114300">
            <wp:extent cx="8639810" cy="6588125"/>
            <wp:effectExtent l="0" t="0" r="1270" b="10795"/>
            <wp:docPr id="9"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true"/>
                    </pic:cNvPicPr>
                  </pic:nvPicPr>
                  <pic:blipFill>
                    <a:blip r:embed="rId8"/>
                    <a:stretch>
                      <a:fillRect/>
                    </a:stretch>
                  </pic:blipFill>
                  <pic:spPr>
                    <a:xfrm>
                      <a:off x="0" y="0"/>
                      <a:ext cx="8639810" cy="6588125"/>
                    </a:xfrm>
                    <a:prstGeom prst="rect">
                      <a:avLst/>
                    </a:prstGeom>
                    <a:noFill/>
                    <a:ln>
                      <a:noFill/>
                    </a:ln>
                  </pic:spPr>
                </pic:pic>
              </a:graphicData>
            </a:graphic>
          </wp:inline>
        </w:drawing>
      </w:r>
    </w:p>
    <w:p>
      <w:pPr>
        <w:widowControl/>
        <w:jc w:val="center"/>
        <w:rPr>
          <w:rFonts w:ascii="Times New Roman" w:hAnsi="Times New Roman" w:eastAsia="方正小标宋_GBK" w:cs="Times New Roman"/>
          <w:kern w:val="0"/>
          <w:sz w:val="36"/>
          <w:szCs w:val="36"/>
        </w:rPr>
      </w:pPr>
      <w:r>
        <w:drawing>
          <wp:inline distT="0" distB="0" distL="114300" distR="114300">
            <wp:extent cx="8639810" cy="6588125"/>
            <wp:effectExtent l="0" t="0" r="1270" b="10795"/>
            <wp:docPr id="10" name="图片 8"/>
            <wp:cNvGraphicFramePr/>
            <a:graphic xmlns:a="http://schemas.openxmlformats.org/drawingml/2006/main">
              <a:graphicData uri="http://schemas.openxmlformats.org/drawingml/2006/picture">
                <pic:pic xmlns:pic="http://schemas.openxmlformats.org/drawingml/2006/picture">
                  <pic:nvPicPr>
                    <pic:cNvPr id="10" name="图片 8"/>
                    <pic:cNvPicPr/>
                  </pic:nvPicPr>
                  <pic:blipFill>
                    <a:blip r:embed="rId9"/>
                    <a:stretch>
                      <a:fillRect/>
                    </a:stretch>
                  </pic:blipFill>
                  <pic:spPr>
                    <a:xfrm>
                      <a:off x="0" y="0"/>
                      <a:ext cx="8639810" cy="6588125"/>
                    </a:xfrm>
                    <a:prstGeom prst="rect">
                      <a:avLst/>
                    </a:prstGeom>
                    <a:noFill/>
                    <a:ln>
                      <a:noFill/>
                    </a:ln>
                  </pic:spPr>
                </pic:pic>
              </a:graphicData>
            </a:graphic>
          </wp:inline>
        </w:drawing>
      </w:r>
    </w:p>
    <w:bookmarkEnd w:id="1"/>
    <w:p>
      <w:pPr>
        <w:widowControl/>
        <w:jc w:val="center"/>
        <w:rPr>
          <w:rFonts w:hint="eastAsia"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湖南省地质矿产勘查开发局四○五队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5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单位：万元</w:t>
      </w:r>
    </w:p>
    <w:tbl>
      <w:tblPr>
        <w:tblStyle w:val="5"/>
        <w:tblW w:w="5000" w:type="pct"/>
        <w:jc w:val="center"/>
        <w:tblLayout w:type="autofit"/>
        <w:tblCellMar>
          <w:top w:w="0" w:type="dxa"/>
          <w:left w:w="108" w:type="dxa"/>
          <w:bottom w:w="0" w:type="dxa"/>
          <w:right w:w="108" w:type="dxa"/>
        </w:tblCellMar>
      </w:tblPr>
      <w:tblGrid>
        <w:gridCol w:w="1299"/>
        <w:gridCol w:w="1299"/>
        <w:gridCol w:w="1299"/>
        <w:gridCol w:w="1299"/>
        <w:gridCol w:w="1302"/>
        <w:gridCol w:w="1312"/>
        <w:gridCol w:w="1299"/>
        <w:gridCol w:w="1299"/>
        <w:gridCol w:w="1299"/>
        <w:gridCol w:w="1299"/>
        <w:gridCol w:w="1302"/>
        <w:gridCol w:w="1306"/>
      </w:tblGrid>
      <w:tr>
        <w:tblPrEx>
          <w:tblCellMar>
            <w:top w:w="0" w:type="dxa"/>
            <w:left w:w="108" w:type="dxa"/>
            <w:bottom w:w="0" w:type="dxa"/>
            <w:right w:w="108" w:type="dxa"/>
          </w:tblCellMar>
        </w:tblPrEx>
        <w:trPr>
          <w:trHeight w:val="397" w:hRule="atLeast"/>
          <w:jc w:val="center"/>
        </w:trPr>
        <w:tc>
          <w:tcPr>
            <w:tcW w:w="2500" w:type="pct"/>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2500" w:type="pct"/>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416" w:type="pct"/>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416"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1249"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416"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416" w:type="pct"/>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416"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1249"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416" w:type="pct"/>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416" w:type="pct"/>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416"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16" w:type="pct"/>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16"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416" w:type="pct"/>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416"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416" w:type="pct"/>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416" w:type="pct"/>
            <w:tcBorders>
              <w:top w:val="nil"/>
              <w:left w:val="single" w:color="auto" w:sz="8" w:space="0"/>
              <w:bottom w:val="single" w:color="auto" w:sz="8" w:space="0"/>
              <w:right w:val="single" w:color="auto" w:sz="4" w:space="0"/>
            </w:tcBorders>
            <w:shd w:val="clear" w:color="auto" w:fill="auto"/>
            <w:vAlign w:val="center"/>
          </w:tcPr>
          <w:p>
            <w:pPr>
              <w:jc w:val="right"/>
              <w:rPr>
                <w:rFonts w:ascii="宋体" w:hAnsi="宋体"/>
                <w:color w:val="000000"/>
                <w:sz w:val="20"/>
                <w:szCs w:val="24"/>
              </w:rPr>
            </w:pPr>
            <w:r>
              <w:rPr>
                <w:rFonts w:hint="eastAsia" w:ascii="宋体" w:hAnsi="宋体"/>
                <w:color w:val="000000"/>
                <w:sz w:val="20"/>
                <w:szCs w:val="24"/>
              </w:rPr>
              <w:t>0.00</w:t>
            </w:r>
          </w:p>
        </w:tc>
        <w:tc>
          <w:tcPr>
            <w:tcW w:w="416" w:type="pct"/>
            <w:tcBorders>
              <w:top w:val="nil"/>
              <w:left w:val="nil"/>
              <w:bottom w:val="single" w:color="auto" w:sz="8" w:space="0"/>
              <w:right w:val="single" w:color="auto" w:sz="4" w:space="0"/>
            </w:tcBorders>
            <w:shd w:val="clear" w:color="auto" w:fill="auto"/>
            <w:vAlign w:val="center"/>
          </w:tcPr>
          <w:p>
            <w:pPr>
              <w:jc w:val="right"/>
              <w:rPr>
                <w:rFonts w:ascii="宋体" w:hAnsi="宋体"/>
                <w:color w:val="000000"/>
                <w:sz w:val="20"/>
                <w:szCs w:val="24"/>
              </w:rPr>
            </w:pPr>
            <w:r>
              <w:rPr>
                <w:rFonts w:hint="eastAsia" w:ascii="宋体" w:hAnsi="宋体"/>
                <w:color w:val="000000"/>
                <w:sz w:val="20"/>
                <w:szCs w:val="24"/>
              </w:rPr>
              <w:t>0.00</w:t>
            </w:r>
          </w:p>
        </w:tc>
        <w:tc>
          <w:tcPr>
            <w:tcW w:w="416" w:type="pct"/>
            <w:tcBorders>
              <w:top w:val="nil"/>
              <w:left w:val="nil"/>
              <w:bottom w:val="single" w:color="auto" w:sz="8" w:space="0"/>
              <w:right w:val="single" w:color="auto" w:sz="4" w:space="0"/>
            </w:tcBorders>
            <w:shd w:val="clear" w:color="auto" w:fill="auto"/>
            <w:vAlign w:val="center"/>
          </w:tcPr>
          <w:p>
            <w:pPr>
              <w:jc w:val="right"/>
              <w:rPr>
                <w:rFonts w:ascii="宋体" w:hAnsi="宋体"/>
                <w:color w:val="000000"/>
                <w:sz w:val="20"/>
                <w:szCs w:val="24"/>
              </w:rPr>
            </w:pPr>
            <w:r>
              <w:rPr>
                <w:rFonts w:hint="eastAsia" w:ascii="宋体" w:hAnsi="宋体"/>
                <w:color w:val="000000"/>
                <w:sz w:val="20"/>
                <w:szCs w:val="24"/>
              </w:rPr>
              <w:t>0.00</w:t>
            </w:r>
          </w:p>
        </w:tc>
        <w:tc>
          <w:tcPr>
            <w:tcW w:w="416" w:type="pct"/>
            <w:tcBorders>
              <w:top w:val="nil"/>
              <w:left w:val="nil"/>
              <w:bottom w:val="single" w:color="auto" w:sz="8" w:space="0"/>
              <w:right w:val="single" w:color="auto" w:sz="4" w:space="0"/>
            </w:tcBorders>
            <w:shd w:val="clear" w:color="auto" w:fill="auto"/>
            <w:vAlign w:val="center"/>
          </w:tcPr>
          <w:p>
            <w:pPr>
              <w:jc w:val="right"/>
              <w:rPr>
                <w:rFonts w:ascii="宋体" w:hAnsi="宋体"/>
                <w:color w:val="000000"/>
                <w:sz w:val="20"/>
                <w:szCs w:val="24"/>
              </w:rPr>
            </w:pPr>
            <w:r>
              <w:rPr>
                <w:rFonts w:hint="eastAsia" w:ascii="宋体" w:hAnsi="宋体"/>
                <w:color w:val="000000"/>
                <w:sz w:val="20"/>
                <w:szCs w:val="24"/>
              </w:rPr>
              <w:t>0.00</w:t>
            </w:r>
          </w:p>
        </w:tc>
        <w:tc>
          <w:tcPr>
            <w:tcW w:w="416" w:type="pct"/>
            <w:tcBorders>
              <w:top w:val="nil"/>
              <w:left w:val="nil"/>
              <w:bottom w:val="single" w:color="auto" w:sz="8" w:space="0"/>
              <w:right w:val="single" w:color="auto" w:sz="4" w:space="0"/>
            </w:tcBorders>
            <w:shd w:val="clear" w:color="auto" w:fill="auto"/>
            <w:vAlign w:val="center"/>
          </w:tcPr>
          <w:p>
            <w:pPr>
              <w:jc w:val="right"/>
              <w:rPr>
                <w:rFonts w:ascii="宋体" w:hAnsi="宋体"/>
                <w:color w:val="000000"/>
                <w:sz w:val="20"/>
                <w:szCs w:val="24"/>
              </w:rPr>
            </w:pPr>
            <w:r>
              <w:rPr>
                <w:rFonts w:hint="eastAsia" w:ascii="宋体" w:hAnsi="宋体"/>
                <w:color w:val="000000"/>
                <w:sz w:val="20"/>
                <w:szCs w:val="24"/>
              </w:rPr>
              <w:t>0.00</w:t>
            </w:r>
          </w:p>
        </w:tc>
        <w:tc>
          <w:tcPr>
            <w:tcW w:w="416" w:type="pct"/>
            <w:tcBorders>
              <w:top w:val="nil"/>
              <w:left w:val="nil"/>
              <w:bottom w:val="single" w:color="auto" w:sz="8" w:space="0"/>
              <w:right w:val="single" w:color="auto" w:sz="4" w:space="0"/>
            </w:tcBorders>
            <w:shd w:val="clear" w:color="auto" w:fill="auto"/>
            <w:vAlign w:val="center"/>
          </w:tcPr>
          <w:p>
            <w:pPr>
              <w:jc w:val="right"/>
              <w:rPr>
                <w:rFonts w:ascii="宋体" w:hAnsi="宋体"/>
                <w:color w:val="000000"/>
                <w:sz w:val="20"/>
                <w:szCs w:val="24"/>
              </w:rPr>
            </w:pPr>
            <w:r>
              <w:rPr>
                <w:rFonts w:hint="eastAsia" w:ascii="宋体" w:hAnsi="宋体"/>
                <w:color w:val="000000"/>
                <w:sz w:val="20"/>
                <w:szCs w:val="24"/>
              </w:rPr>
              <w:t>0.00</w:t>
            </w:r>
          </w:p>
        </w:tc>
        <w:tc>
          <w:tcPr>
            <w:tcW w:w="416" w:type="pct"/>
            <w:tcBorders>
              <w:top w:val="nil"/>
              <w:left w:val="nil"/>
              <w:bottom w:val="single" w:color="auto" w:sz="8" w:space="0"/>
              <w:right w:val="single" w:color="auto" w:sz="4" w:space="0"/>
            </w:tcBorders>
            <w:shd w:val="clear" w:color="auto" w:fill="auto"/>
            <w:vAlign w:val="center"/>
          </w:tcPr>
          <w:p>
            <w:pPr>
              <w:jc w:val="right"/>
              <w:rPr>
                <w:rFonts w:ascii="宋体" w:hAnsi="宋体"/>
                <w:color w:val="000000"/>
                <w:sz w:val="20"/>
                <w:szCs w:val="24"/>
              </w:rPr>
            </w:pPr>
            <w:r>
              <w:rPr>
                <w:rFonts w:hint="eastAsia" w:ascii="宋体" w:hAnsi="宋体"/>
                <w:color w:val="000000"/>
                <w:sz w:val="20"/>
                <w:szCs w:val="24"/>
              </w:rPr>
              <w:t>0.00</w:t>
            </w:r>
          </w:p>
        </w:tc>
        <w:tc>
          <w:tcPr>
            <w:tcW w:w="416" w:type="pct"/>
            <w:tcBorders>
              <w:top w:val="nil"/>
              <w:left w:val="nil"/>
              <w:bottom w:val="single" w:color="auto" w:sz="8" w:space="0"/>
              <w:right w:val="single" w:color="auto" w:sz="4" w:space="0"/>
            </w:tcBorders>
            <w:shd w:val="clear" w:color="auto" w:fill="auto"/>
            <w:vAlign w:val="center"/>
          </w:tcPr>
          <w:p>
            <w:pPr>
              <w:jc w:val="right"/>
              <w:rPr>
                <w:rFonts w:ascii="宋体" w:hAnsi="宋体"/>
                <w:color w:val="000000"/>
                <w:sz w:val="20"/>
                <w:szCs w:val="24"/>
              </w:rPr>
            </w:pPr>
            <w:r>
              <w:rPr>
                <w:rFonts w:hint="eastAsia" w:ascii="宋体" w:hAnsi="宋体"/>
                <w:color w:val="000000"/>
                <w:sz w:val="20"/>
                <w:szCs w:val="24"/>
              </w:rPr>
              <w:t>0.00</w:t>
            </w:r>
          </w:p>
        </w:tc>
        <w:tc>
          <w:tcPr>
            <w:tcW w:w="416" w:type="pct"/>
            <w:tcBorders>
              <w:top w:val="nil"/>
              <w:left w:val="nil"/>
              <w:bottom w:val="single" w:color="auto" w:sz="8" w:space="0"/>
              <w:right w:val="single" w:color="auto" w:sz="4" w:space="0"/>
            </w:tcBorders>
            <w:shd w:val="clear" w:color="auto" w:fill="auto"/>
            <w:vAlign w:val="center"/>
          </w:tcPr>
          <w:p>
            <w:pPr>
              <w:jc w:val="right"/>
              <w:rPr>
                <w:rFonts w:ascii="宋体" w:hAnsi="宋体"/>
                <w:color w:val="000000"/>
                <w:sz w:val="20"/>
                <w:szCs w:val="24"/>
              </w:rPr>
            </w:pPr>
            <w:r>
              <w:rPr>
                <w:rFonts w:hint="eastAsia" w:ascii="宋体" w:hAnsi="宋体"/>
                <w:color w:val="000000"/>
                <w:sz w:val="20"/>
                <w:szCs w:val="24"/>
              </w:rPr>
              <w:t>0.00</w:t>
            </w:r>
          </w:p>
        </w:tc>
        <w:tc>
          <w:tcPr>
            <w:tcW w:w="416" w:type="pct"/>
            <w:tcBorders>
              <w:top w:val="nil"/>
              <w:left w:val="nil"/>
              <w:bottom w:val="single" w:color="auto" w:sz="8" w:space="0"/>
              <w:right w:val="single" w:color="auto" w:sz="4" w:space="0"/>
            </w:tcBorders>
            <w:shd w:val="clear" w:color="auto" w:fill="auto"/>
            <w:vAlign w:val="center"/>
          </w:tcPr>
          <w:p>
            <w:pPr>
              <w:jc w:val="right"/>
              <w:rPr>
                <w:rFonts w:ascii="宋体" w:hAnsi="宋体"/>
                <w:color w:val="000000"/>
                <w:sz w:val="20"/>
                <w:szCs w:val="24"/>
              </w:rPr>
            </w:pPr>
            <w:r>
              <w:rPr>
                <w:rFonts w:hint="eastAsia" w:ascii="宋体" w:hAnsi="宋体"/>
                <w:color w:val="000000"/>
                <w:sz w:val="20"/>
                <w:szCs w:val="24"/>
              </w:rPr>
              <w:t>0.00</w:t>
            </w:r>
          </w:p>
        </w:tc>
        <w:tc>
          <w:tcPr>
            <w:tcW w:w="416" w:type="pct"/>
            <w:tcBorders>
              <w:top w:val="nil"/>
              <w:left w:val="nil"/>
              <w:bottom w:val="single" w:color="auto" w:sz="8" w:space="0"/>
              <w:right w:val="nil"/>
            </w:tcBorders>
            <w:shd w:val="clear" w:color="auto" w:fill="auto"/>
            <w:vAlign w:val="center"/>
          </w:tcPr>
          <w:p>
            <w:pPr>
              <w:jc w:val="right"/>
              <w:rPr>
                <w:rFonts w:ascii="宋体" w:hAnsi="宋体"/>
                <w:color w:val="000000"/>
                <w:sz w:val="20"/>
                <w:szCs w:val="24"/>
              </w:rPr>
            </w:pPr>
            <w:r>
              <w:rPr>
                <w:rFonts w:hint="eastAsia" w:ascii="宋体" w:hAnsi="宋体"/>
                <w:color w:val="000000"/>
                <w:sz w:val="20"/>
                <w:szCs w:val="24"/>
              </w:rPr>
              <w:t>0.00</w:t>
            </w:r>
          </w:p>
        </w:tc>
        <w:tc>
          <w:tcPr>
            <w:tcW w:w="416" w:type="pct"/>
            <w:tcBorders>
              <w:top w:val="nil"/>
              <w:left w:val="single" w:color="auto" w:sz="4" w:space="0"/>
              <w:bottom w:val="single" w:color="auto" w:sz="8" w:space="0"/>
              <w:right w:val="single" w:color="auto" w:sz="8" w:space="0"/>
            </w:tcBorders>
            <w:shd w:val="clear" w:color="auto" w:fill="auto"/>
            <w:vAlign w:val="center"/>
          </w:tcPr>
          <w:p>
            <w:pPr>
              <w:jc w:val="right"/>
              <w:rPr>
                <w:rFonts w:ascii="宋体" w:hAnsi="宋体"/>
                <w:color w:val="000000"/>
                <w:sz w:val="20"/>
                <w:szCs w:val="24"/>
              </w:rPr>
            </w:pPr>
            <w:r>
              <w:rPr>
                <w:rFonts w:hint="eastAsia" w:ascii="宋体" w:hAnsi="宋体"/>
                <w:color w:val="000000"/>
                <w:sz w:val="20"/>
                <w:szCs w:val="24"/>
              </w:rPr>
              <w:t>0.00</w:t>
            </w:r>
          </w:p>
        </w:tc>
      </w:tr>
    </w:tbl>
    <w:p>
      <w:pPr>
        <w:widowControl/>
        <w:ind w:firstLine="240" w:firstLineChars="10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w:t>
      </w:r>
    </w:p>
    <w:p>
      <w:pPr>
        <w:widowControl/>
        <w:ind w:firstLine="240" w:firstLineChars="100"/>
        <w:jc w:val="left"/>
        <w:rPr>
          <w:rFonts w:hint="eastAsia" w:ascii="宋体" w:eastAsia="宋体" w:cs="宋体"/>
          <w:kern w:val="0"/>
          <w:sz w:val="24"/>
          <w:szCs w:val="24"/>
        </w:rPr>
      </w:pPr>
      <w:r>
        <w:rPr>
          <w:rFonts w:hint="eastAsia" w:ascii="宋体" w:eastAsia="宋体" w:cs="宋体"/>
          <w:kern w:val="0"/>
          <w:sz w:val="24"/>
          <w:szCs w:val="24"/>
        </w:rPr>
        <w:t>是包括当年一般公共预算财政拨款和以前年度结转资金安排的实际支出。</w:t>
      </w:r>
    </w:p>
    <w:p>
      <w:pPr>
        <w:widowControl/>
        <w:jc w:val="left"/>
        <w:rPr>
          <w:rFonts w:hint="eastAsia" w:ascii="宋体" w:eastAsia="宋体" w:cs="宋体"/>
          <w:kern w:val="0"/>
          <w:sz w:val="24"/>
          <w:szCs w:val="24"/>
        </w:rPr>
      </w:pPr>
      <w:r>
        <w:rPr>
          <w:rFonts w:hint="eastAsia" w:ascii="Times New Roman" w:hAnsi="Times New Roman" w:eastAsia="仿宋_GB2312" w:cs="Times New Roman"/>
          <w:color w:val="000000"/>
          <w:kern w:val="0"/>
          <w:szCs w:val="21"/>
          <w:lang w:eastAsia="zh-CN"/>
        </w:rPr>
        <w:t>（</w:t>
      </w:r>
      <w:r>
        <w:rPr>
          <w:rFonts w:hint="eastAsia" w:ascii="Times New Roman" w:hAnsi="Times New Roman" w:eastAsia="仿宋_GB2312" w:cs="Times New Roman"/>
          <w:color w:val="000000"/>
          <w:kern w:val="0"/>
          <w:szCs w:val="21"/>
        </w:rPr>
        <w:t>湖南省地质矿产勘查开发局四○五队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kern w:val="0"/>
          <w:szCs w:val="21"/>
        </w:rPr>
        <w:t>没有“三公”经费支出</w:t>
      </w:r>
      <w:r>
        <w:rPr>
          <w:rFonts w:hint="eastAsia" w:ascii="Times New Roman" w:hAnsi="Times New Roman" w:eastAsia="仿宋_GB2312" w:cs="Times New Roman"/>
          <w:kern w:val="0"/>
          <w:szCs w:val="21"/>
          <w:lang w:eastAsia="zh-CN"/>
        </w:rPr>
        <w:t>预算</w:t>
      </w:r>
      <w:r>
        <w:rPr>
          <w:rFonts w:hint="eastAsia" w:ascii="Times New Roman" w:hAnsi="Times New Roman" w:eastAsia="仿宋_GB2312" w:cs="Times New Roman"/>
          <w:kern w:val="0"/>
          <w:szCs w:val="21"/>
        </w:rPr>
        <w:t>，也没有“三公”经费支出</w:t>
      </w:r>
      <w:r>
        <w:rPr>
          <w:rFonts w:hint="eastAsia" w:ascii="Times New Roman" w:hAnsi="Times New Roman" w:eastAsia="仿宋_GB2312" w:cs="Times New Roman"/>
          <w:kern w:val="0"/>
          <w:szCs w:val="21"/>
          <w:lang w:eastAsia="zh-CN"/>
        </w:rPr>
        <w:t>预算</w:t>
      </w:r>
      <w:r>
        <w:rPr>
          <w:rFonts w:hint="eastAsia" w:ascii="Times New Roman" w:hAnsi="Times New Roman" w:eastAsia="仿宋_GB2312" w:cs="Times New Roman"/>
          <w:kern w:val="0"/>
          <w:szCs w:val="21"/>
        </w:rPr>
        <w:t>支出，故本表无数据</w:t>
      </w:r>
      <w:r>
        <w:rPr>
          <w:rFonts w:ascii="Times New Roman" w:hAnsi="Times New Roman" w:eastAsia="仿宋_GB2312" w:cs="Times New Roman"/>
          <w:kern w:val="0"/>
          <w:szCs w:val="21"/>
        </w:rPr>
        <w:t>)</w:t>
      </w:r>
    </w:p>
    <w:p>
      <w:pPr>
        <w:widowControl/>
        <w:ind w:firstLine="240" w:firstLineChars="100"/>
        <w:jc w:val="left"/>
        <w:rPr>
          <w:rFonts w:hint="eastAsia" w:ascii="宋体" w:eastAsia="宋体" w:cs="宋体"/>
          <w:kern w:val="0"/>
          <w:sz w:val="24"/>
          <w:szCs w:val="24"/>
        </w:rPr>
      </w:pPr>
    </w:p>
    <w:p>
      <w:pPr>
        <w:widowControl/>
        <w:jc w:val="center"/>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239" w:leftChars="114" w:firstLine="210" w:firstLineChars="100"/>
        <w:jc w:val="cente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ind w:right="57" w:rightChars="27"/>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湖南省地质矿产勘查开发局四○五队</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公开08表</w:t>
      </w:r>
    </w:p>
    <w:p>
      <w:pPr>
        <w:widowControl/>
        <w:ind w:right="57" w:rightChars="27"/>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单位：万元</w:t>
      </w:r>
    </w:p>
    <w:tbl>
      <w:tblPr>
        <w:tblStyle w:val="5"/>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208"/>
        <w:gridCol w:w="1428"/>
        <w:gridCol w:w="2162"/>
        <w:gridCol w:w="2162"/>
        <w:gridCol w:w="2162"/>
        <w:gridCol w:w="2162"/>
        <w:gridCol w:w="2165"/>
        <w:gridCol w:w="216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44" w:type="pct"/>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692" w:type="pct"/>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692" w:type="pct"/>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2077" w:type="pct"/>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692" w:type="pct"/>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87" w:type="pct"/>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57" w:type="pct"/>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692" w:type="pct"/>
            <w:vMerge w:val="continue"/>
            <w:vAlign w:val="center"/>
          </w:tcPr>
          <w:p>
            <w:pPr>
              <w:widowControl/>
              <w:jc w:val="left"/>
              <w:rPr>
                <w:rFonts w:ascii="Times New Roman" w:hAnsi="Times New Roman" w:eastAsia="仿宋_GB2312" w:cs="Times New Roman"/>
                <w:b/>
                <w:kern w:val="0"/>
                <w:szCs w:val="21"/>
              </w:rPr>
            </w:pPr>
          </w:p>
        </w:tc>
        <w:tc>
          <w:tcPr>
            <w:tcW w:w="692" w:type="pct"/>
            <w:vMerge w:val="continue"/>
            <w:vAlign w:val="center"/>
          </w:tcPr>
          <w:p>
            <w:pPr>
              <w:widowControl/>
              <w:jc w:val="left"/>
              <w:rPr>
                <w:rFonts w:ascii="Times New Roman" w:hAnsi="Times New Roman" w:eastAsia="仿宋_GB2312" w:cs="Times New Roman"/>
                <w:b/>
                <w:kern w:val="0"/>
                <w:szCs w:val="21"/>
              </w:rPr>
            </w:pPr>
          </w:p>
        </w:tc>
        <w:tc>
          <w:tcPr>
            <w:tcW w:w="692" w:type="pct"/>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692" w:type="pct"/>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692" w:type="pct"/>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692" w:type="pct"/>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87" w:type="pct"/>
            <w:vMerge w:val="continue"/>
            <w:vAlign w:val="center"/>
          </w:tcPr>
          <w:p>
            <w:pPr>
              <w:widowControl/>
              <w:jc w:val="left"/>
              <w:rPr>
                <w:rFonts w:ascii="Times New Roman" w:hAnsi="Times New Roman" w:eastAsia="仿宋_GB2312" w:cs="Times New Roman"/>
                <w:kern w:val="0"/>
                <w:szCs w:val="21"/>
              </w:rPr>
            </w:pPr>
          </w:p>
        </w:tc>
        <w:tc>
          <w:tcPr>
            <w:tcW w:w="457" w:type="pct"/>
            <w:vMerge w:val="continue"/>
            <w:vAlign w:val="center"/>
          </w:tcPr>
          <w:p>
            <w:pPr>
              <w:widowControl/>
              <w:jc w:val="left"/>
              <w:rPr>
                <w:rFonts w:ascii="Times New Roman" w:hAnsi="Times New Roman" w:eastAsia="仿宋_GB2312" w:cs="Times New Roman"/>
                <w:kern w:val="0"/>
                <w:szCs w:val="21"/>
              </w:rPr>
            </w:pPr>
          </w:p>
        </w:tc>
        <w:tc>
          <w:tcPr>
            <w:tcW w:w="692" w:type="pct"/>
            <w:vMerge w:val="continue"/>
            <w:vAlign w:val="center"/>
          </w:tcPr>
          <w:p>
            <w:pPr>
              <w:widowControl/>
              <w:jc w:val="left"/>
              <w:rPr>
                <w:rFonts w:ascii="Times New Roman" w:hAnsi="Times New Roman" w:eastAsia="仿宋_GB2312" w:cs="Times New Roman"/>
                <w:kern w:val="0"/>
                <w:szCs w:val="21"/>
              </w:rPr>
            </w:pPr>
          </w:p>
        </w:tc>
        <w:tc>
          <w:tcPr>
            <w:tcW w:w="692" w:type="pct"/>
            <w:vMerge w:val="continue"/>
            <w:vAlign w:val="center"/>
          </w:tcPr>
          <w:p>
            <w:pPr>
              <w:widowControl/>
              <w:jc w:val="left"/>
              <w:rPr>
                <w:rFonts w:ascii="Times New Roman" w:hAnsi="Times New Roman" w:eastAsia="仿宋_GB2312" w:cs="Times New Roman"/>
                <w:kern w:val="0"/>
                <w:szCs w:val="21"/>
              </w:rPr>
            </w:pPr>
          </w:p>
        </w:tc>
        <w:tc>
          <w:tcPr>
            <w:tcW w:w="692" w:type="pct"/>
            <w:vMerge w:val="continue"/>
            <w:vAlign w:val="center"/>
          </w:tcPr>
          <w:p>
            <w:pPr>
              <w:widowControl/>
              <w:jc w:val="left"/>
              <w:rPr>
                <w:rFonts w:ascii="Times New Roman" w:hAnsi="Times New Roman" w:eastAsia="仿宋_GB2312" w:cs="Times New Roman"/>
                <w:kern w:val="0"/>
                <w:szCs w:val="21"/>
              </w:rPr>
            </w:pPr>
          </w:p>
        </w:tc>
        <w:tc>
          <w:tcPr>
            <w:tcW w:w="692" w:type="pct"/>
            <w:vMerge w:val="continue"/>
            <w:vAlign w:val="center"/>
          </w:tcPr>
          <w:p>
            <w:pPr>
              <w:widowControl/>
              <w:jc w:val="left"/>
              <w:rPr>
                <w:rFonts w:ascii="Times New Roman" w:hAnsi="Times New Roman" w:eastAsia="仿宋_GB2312" w:cs="Times New Roman"/>
                <w:kern w:val="0"/>
                <w:szCs w:val="21"/>
              </w:rPr>
            </w:pPr>
          </w:p>
        </w:tc>
        <w:tc>
          <w:tcPr>
            <w:tcW w:w="692" w:type="pct"/>
            <w:vMerge w:val="continue"/>
            <w:vAlign w:val="center"/>
          </w:tcPr>
          <w:p>
            <w:pPr>
              <w:widowControl/>
              <w:jc w:val="left"/>
              <w:rPr>
                <w:rFonts w:ascii="Times New Roman" w:hAnsi="Times New Roman" w:eastAsia="仿宋_GB2312" w:cs="Times New Roman"/>
                <w:kern w:val="0"/>
                <w:szCs w:val="21"/>
              </w:rPr>
            </w:pPr>
          </w:p>
        </w:tc>
        <w:tc>
          <w:tcPr>
            <w:tcW w:w="692" w:type="pct"/>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87" w:type="pct"/>
            <w:vMerge w:val="continue"/>
            <w:vAlign w:val="center"/>
          </w:tcPr>
          <w:p>
            <w:pPr>
              <w:widowControl/>
              <w:jc w:val="left"/>
              <w:rPr>
                <w:rFonts w:ascii="Times New Roman" w:hAnsi="Times New Roman" w:eastAsia="仿宋_GB2312" w:cs="Times New Roman"/>
                <w:kern w:val="0"/>
                <w:szCs w:val="21"/>
              </w:rPr>
            </w:pPr>
          </w:p>
        </w:tc>
        <w:tc>
          <w:tcPr>
            <w:tcW w:w="457" w:type="pct"/>
            <w:vMerge w:val="continue"/>
            <w:vAlign w:val="center"/>
          </w:tcPr>
          <w:p>
            <w:pPr>
              <w:widowControl/>
              <w:jc w:val="left"/>
              <w:rPr>
                <w:rFonts w:ascii="Times New Roman" w:hAnsi="Times New Roman" w:eastAsia="仿宋_GB2312" w:cs="Times New Roman"/>
                <w:kern w:val="0"/>
                <w:szCs w:val="21"/>
              </w:rPr>
            </w:pPr>
          </w:p>
        </w:tc>
        <w:tc>
          <w:tcPr>
            <w:tcW w:w="692" w:type="pct"/>
            <w:vMerge w:val="continue"/>
            <w:vAlign w:val="center"/>
          </w:tcPr>
          <w:p>
            <w:pPr>
              <w:widowControl/>
              <w:jc w:val="left"/>
              <w:rPr>
                <w:rFonts w:ascii="Times New Roman" w:hAnsi="Times New Roman" w:eastAsia="仿宋_GB2312" w:cs="Times New Roman"/>
                <w:kern w:val="0"/>
                <w:szCs w:val="21"/>
              </w:rPr>
            </w:pPr>
          </w:p>
        </w:tc>
        <w:tc>
          <w:tcPr>
            <w:tcW w:w="692" w:type="pct"/>
            <w:vMerge w:val="continue"/>
            <w:vAlign w:val="center"/>
          </w:tcPr>
          <w:p>
            <w:pPr>
              <w:widowControl/>
              <w:jc w:val="left"/>
              <w:rPr>
                <w:rFonts w:ascii="Times New Roman" w:hAnsi="Times New Roman" w:eastAsia="仿宋_GB2312" w:cs="Times New Roman"/>
                <w:kern w:val="0"/>
                <w:szCs w:val="21"/>
              </w:rPr>
            </w:pPr>
          </w:p>
        </w:tc>
        <w:tc>
          <w:tcPr>
            <w:tcW w:w="692" w:type="pct"/>
            <w:vMerge w:val="continue"/>
            <w:vAlign w:val="center"/>
          </w:tcPr>
          <w:p>
            <w:pPr>
              <w:widowControl/>
              <w:jc w:val="left"/>
              <w:rPr>
                <w:rFonts w:ascii="Times New Roman" w:hAnsi="Times New Roman" w:eastAsia="仿宋_GB2312" w:cs="Times New Roman"/>
                <w:kern w:val="0"/>
                <w:szCs w:val="21"/>
              </w:rPr>
            </w:pPr>
          </w:p>
        </w:tc>
        <w:tc>
          <w:tcPr>
            <w:tcW w:w="692" w:type="pct"/>
            <w:vMerge w:val="continue"/>
            <w:vAlign w:val="center"/>
          </w:tcPr>
          <w:p>
            <w:pPr>
              <w:widowControl/>
              <w:jc w:val="left"/>
              <w:rPr>
                <w:rFonts w:ascii="Times New Roman" w:hAnsi="Times New Roman" w:eastAsia="仿宋_GB2312" w:cs="Times New Roman"/>
                <w:kern w:val="0"/>
                <w:szCs w:val="21"/>
              </w:rPr>
            </w:pPr>
          </w:p>
        </w:tc>
        <w:tc>
          <w:tcPr>
            <w:tcW w:w="692" w:type="pct"/>
            <w:vMerge w:val="continue"/>
            <w:vAlign w:val="center"/>
          </w:tcPr>
          <w:p>
            <w:pPr>
              <w:widowControl/>
              <w:jc w:val="left"/>
              <w:rPr>
                <w:rFonts w:ascii="Times New Roman" w:hAnsi="Times New Roman" w:eastAsia="仿宋_GB2312" w:cs="Times New Roman"/>
                <w:kern w:val="0"/>
                <w:szCs w:val="21"/>
              </w:rPr>
            </w:pPr>
          </w:p>
        </w:tc>
        <w:tc>
          <w:tcPr>
            <w:tcW w:w="692" w:type="pct"/>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44" w:type="pct"/>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692" w:type="pc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692" w:type="pc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692" w:type="pc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692" w:type="pc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692" w:type="pc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692" w:type="pc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44" w:type="pct"/>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692" w:type="pct"/>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color w:val="000000"/>
                <w:sz w:val="20"/>
                <w:szCs w:val="24"/>
              </w:rPr>
              <w:t>0.00</w:t>
            </w:r>
            <w:r>
              <w:rPr>
                <w:rFonts w:ascii="Times New Roman" w:hAnsi="Times New Roman" w:eastAsia="仿宋_GB2312" w:cs="Times New Roman"/>
                <w:kern w:val="0"/>
                <w:szCs w:val="21"/>
              </w:rPr>
              <w:t>　</w:t>
            </w:r>
          </w:p>
        </w:tc>
        <w:tc>
          <w:tcPr>
            <w:tcW w:w="692" w:type="pct"/>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color w:val="000000"/>
                <w:sz w:val="20"/>
                <w:szCs w:val="24"/>
              </w:rPr>
              <w:t>0.00</w:t>
            </w:r>
            <w:r>
              <w:rPr>
                <w:rFonts w:ascii="Times New Roman" w:hAnsi="Times New Roman" w:eastAsia="仿宋_GB2312" w:cs="Times New Roman"/>
                <w:kern w:val="0"/>
                <w:szCs w:val="21"/>
              </w:rPr>
              <w:t>　</w:t>
            </w:r>
          </w:p>
        </w:tc>
        <w:tc>
          <w:tcPr>
            <w:tcW w:w="692" w:type="pct"/>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color w:val="000000"/>
                <w:sz w:val="20"/>
                <w:szCs w:val="24"/>
              </w:rPr>
              <w:t>0.00</w:t>
            </w:r>
            <w:r>
              <w:rPr>
                <w:rFonts w:ascii="Times New Roman" w:hAnsi="Times New Roman" w:eastAsia="仿宋_GB2312" w:cs="Times New Roman"/>
                <w:kern w:val="0"/>
                <w:szCs w:val="21"/>
              </w:rPr>
              <w:t>　</w:t>
            </w:r>
          </w:p>
        </w:tc>
        <w:tc>
          <w:tcPr>
            <w:tcW w:w="692" w:type="pct"/>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color w:val="000000"/>
                <w:sz w:val="20"/>
                <w:szCs w:val="24"/>
              </w:rPr>
              <w:t>0.00</w:t>
            </w:r>
            <w:r>
              <w:rPr>
                <w:rFonts w:ascii="Times New Roman" w:hAnsi="Times New Roman" w:eastAsia="仿宋_GB2312" w:cs="Times New Roman"/>
                <w:kern w:val="0"/>
                <w:szCs w:val="21"/>
              </w:rPr>
              <w:t>　</w:t>
            </w:r>
          </w:p>
        </w:tc>
        <w:tc>
          <w:tcPr>
            <w:tcW w:w="692" w:type="pct"/>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color w:val="000000"/>
                <w:sz w:val="20"/>
                <w:szCs w:val="24"/>
              </w:rPr>
              <w:t>0.00</w:t>
            </w:r>
            <w:r>
              <w:rPr>
                <w:rFonts w:ascii="Times New Roman" w:hAnsi="Times New Roman" w:eastAsia="仿宋_GB2312" w:cs="Times New Roman"/>
                <w:kern w:val="0"/>
                <w:szCs w:val="21"/>
              </w:rPr>
              <w:t>　</w:t>
            </w:r>
          </w:p>
        </w:tc>
        <w:tc>
          <w:tcPr>
            <w:tcW w:w="692" w:type="pct"/>
            <w:shd w:val="clear" w:color="auto" w:fill="auto"/>
            <w:vAlign w:val="center"/>
          </w:tcPr>
          <w:p>
            <w:pPr>
              <w:widowControl/>
              <w:jc w:val="center"/>
              <w:rPr>
                <w:rFonts w:ascii="Times New Roman" w:hAnsi="Times New Roman" w:eastAsia="仿宋_GB2312" w:cs="Times New Roman"/>
                <w:kern w:val="0"/>
                <w:szCs w:val="21"/>
              </w:rPr>
            </w:pPr>
            <w:r>
              <w:rPr>
                <w:rFonts w:hint="eastAsia" w:ascii="宋体" w:hAnsi="宋体"/>
                <w:color w:val="000000"/>
                <w:sz w:val="20"/>
                <w:szCs w:val="24"/>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87" w:type="pc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57"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87" w:type="pc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57"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87" w:type="pc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57"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87" w:type="pc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57"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87" w:type="pc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57"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87" w:type="pc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57"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92" w:type="pct"/>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color w:val="000000"/>
          <w:kern w:val="0"/>
          <w:szCs w:val="21"/>
        </w:rPr>
        <w:t>湖南省地质矿产勘查开发局四○五队</w:t>
      </w:r>
      <w:r>
        <w:rPr>
          <w:rFonts w:hint="eastAsia" w:ascii="Times New Roman" w:hAnsi="Times New Roman" w:eastAsia="仿宋_GB2312" w:cs="Times New Roman"/>
          <w:kern w:val="0"/>
          <w:szCs w:val="21"/>
        </w:rPr>
        <w:t>没有政府性基金收入，也没有使用政府性基金安排的支出，故本表无数据</w:t>
      </w:r>
      <w:r>
        <w:rPr>
          <w:rFonts w:ascii="Times New Roman" w:hAnsi="Times New Roman" w:eastAsia="仿宋_GB2312" w:cs="Times New Roman"/>
          <w:kern w:val="0"/>
          <w:szCs w:val="21"/>
        </w:rPr>
        <w:t>)。</w:t>
      </w:r>
    </w:p>
    <w:p>
      <w:pPr>
        <w:widowControl/>
        <w:ind w:left="239" w:leftChars="114" w:firstLine="210" w:firstLineChars="100"/>
        <w:jc w:val="center"/>
      </w:pPr>
    </w:p>
    <w:p>
      <w:pPr>
        <w:widowControl/>
        <w:ind w:left="239" w:leftChars="114" w:firstLine="210" w:firstLineChars="100"/>
        <w:jc w:val="center"/>
      </w:pPr>
    </w:p>
    <w:p>
      <w:pPr>
        <w:widowControl/>
        <w:ind w:left="239" w:leftChars="114" w:firstLine="210" w:firstLineChars="100"/>
        <w:jc w:val="center"/>
      </w:pPr>
    </w:p>
    <w:p>
      <w:pPr>
        <w:widowControl/>
        <w:ind w:left="239" w:leftChars="114" w:firstLine="210" w:firstLineChars="100"/>
        <w:jc w:val="center"/>
      </w:pPr>
    </w:p>
    <w:p>
      <w:pPr>
        <w:widowControl/>
        <w:ind w:left="239" w:leftChars="114" w:firstLine="210" w:firstLineChars="100"/>
        <w:jc w:val="center"/>
      </w:pPr>
    </w:p>
    <w:p>
      <w:pPr>
        <w:widowControl/>
        <w:ind w:left="239" w:leftChars="114" w:firstLine="210" w:firstLineChars="100"/>
        <w:jc w:val="center"/>
      </w:pPr>
    </w:p>
    <w:p>
      <w:pPr>
        <w:widowControl/>
        <w:ind w:left="239" w:leftChars="114" w:firstLine="210" w:firstLineChars="100"/>
        <w:jc w:val="center"/>
      </w:pPr>
    </w:p>
    <w:p>
      <w:pPr>
        <w:widowControl/>
        <w:ind w:left="239" w:leftChars="114" w:firstLine="210" w:firstLineChars="100"/>
        <w:jc w:val="center"/>
      </w:pPr>
    </w:p>
    <w:p>
      <w:pPr>
        <w:widowControl/>
        <w:ind w:left="239" w:leftChars="114" w:firstLine="210" w:firstLineChars="100"/>
        <w:jc w:val="center"/>
      </w:pPr>
    </w:p>
    <w:tbl>
      <w:tblPr>
        <w:tblStyle w:val="5"/>
        <w:tblW w:w="5000" w:type="pct"/>
        <w:tblInd w:w="0" w:type="dxa"/>
        <w:tblLayout w:type="autofit"/>
        <w:tblCellMar>
          <w:top w:w="0" w:type="dxa"/>
          <w:left w:w="108" w:type="dxa"/>
          <w:bottom w:w="0" w:type="dxa"/>
          <w:right w:w="108" w:type="dxa"/>
        </w:tblCellMar>
      </w:tblPr>
      <w:tblGrid>
        <w:gridCol w:w="2979"/>
        <w:gridCol w:w="2807"/>
        <w:gridCol w:w="2336"/>
        <w:gridCol w:w="3273"/>
        <w:gridCol w:w="4219"/>
      </w:tblGrid>
      <w:tr>
        <w:tblPrEx>
          <w:tblCellMar>
            <w:top w:w="0" w:type="dxa"/>
            <w:left w:w="108" w:type="dxa"/>
            <w:bottom w:w="0" w:type="dxa"/>
            <w:right w:w="108" w:type="dxa"/>
          </w:tblCellMar>
        </w:tblPrEx>
        <w:trPr>
          <w:trHeight w:val="720" w:hRule="atLeast"/>
        </w:trPr>
        <w:tc>
          <w:tcPr>
            <w:tcW w:w="5000" w:type="pct"/>
            <w:gridSpan w:val="5"/>
            <w:tcBorders>
              <w:top w:val="nil"/>
              <w:left w:val="nil"/>
              <w:bottom w:val="nil"/>
              <w:right w:val="nil"/>
            </w:tcBorders>
            <w:shd w:val="clear" w:color="000000" w:fill="FFFFFF"/>
            <w:vAlign w:val="center"/>
          </w:tcPr>
          <w:p>
            <w:pPr>
              <w:widowControl/>
              <w:jc w:val="center"/>
              <w:rPr>
                <w:rFonts w:ascii="Times New Roman" w:hAnsi="Times New Roman" w:eastAsia="方正小标宋_GBK" w:cs="Times New Roman"/>
                <w:kern w:val="0"/>
                <w:sz w:val="36"/>
                <w:szCs w:val="36"/>
              </w:rPr>
            </w:pPr>
            <w:r>
              <w:rPr>
                <w:rFonts w:hint="eastAsia" w:ascii="Times New Roman" w:hAnsi="Times New Roman" w:eastAsia="方正小标宋_GBK" w:cs="Times New Roman"/>
                <w:kern w:val="0"/>
                <w:sz w:val="36"/>
                <w:szCs w:val="36"/>
              </w:rPr>
              <w:t>国有资本经营预算财政拨款支出决算表</w:t>
            </w:r>
          </w:p>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公开09表</w:t>
            </w:r>
          </w:p>
          <w:p>
            <w:pPr>
              <w:widowControl/>
              <w:rPr>
                <w:rFonts w:ascii="宋体" w:hAnsi="宋体" w:eastAsia="仿宋_GB2312" w:cs="宋体"/>
                <w:color w:val="000000"/>
                <w:kern w:val="0"/>
                <w:sz w:val="20"/>
                <w:szCs w:val="20"/>
              </w:rPr>
            </w:pPr>
            <w:r>
              <w:rPr>
                <w:rFonts w:hint="eastAsia" w:ascii="宋体" w:hAnsi="宋体" w:eastAsia="宋体" w:cs="宋体"/>
                <w:color w:val="000000"/>
                <w:kern w:val="0"/>
                <w:sz w:val="20"/>
                <w:szCs w:val="20"/>
              </w:rPr>
              <w:t>部门：</w:t>
            </w:r>
            <w:r>
              <w:rPr>
                <w:rFonts w:hint="eastAsia" w:ascii="Times New Roman" w:hAnsi="Times New Roman" w:eastAsia="仿宋_GB2312" w:cs="Times New Roman"/>
                <w:color w:val="000000"/>
                <w:kern w:val="0"/>
                <w:szCs w:val="21"/>
              </w:rPr>
              <w:t xml:space="preserve">湖南省地质矿产勘查开发局四○五队                                                                                           </w:t>
            </w: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1853" w:type="pct"/>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3146" w:type="pct"/>
            <w:gridSpan w:val="3"/>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954"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89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74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04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1349"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954"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89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4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104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134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954"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89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4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104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1349"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1853"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74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04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4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1853" w:type="pct"/>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74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color w:val="000000"/>
                <w:sz w:val="20"/>
                <w:szCs w:val="24"/>
              </w:rPr>
              <w:t>0.00</w:t>
            </w:r>
          </w:p>
        </w:tc>
        <w:tc>
          <w:tcPr>
            <w:tcW w:w="104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color w:val="000000"/>
                <w:sz w:val="20"/>
                <w:szCs w:val="24"/>
              </w:rPr>
              <w:t>0.00</w:t>
            </w:r>
            <w:r>
              <w:rPr>
                <w:rFonts w:hint="eastAsia" w:ascii="宋体" w:hAnsi="宋体" w:eastAsia="宋体" w:cs="宋体"/>
                <w:kern w:val="0"/>
                <w:sz w:val="24"/>
                <w:szCs w:val="24"/>
              </w:rPr>
              <w:t>　</w:t>
            </w:r>
          </w:p>
        </w:tc>
        <w:tc>
          <w:tcPr>
            <w:tcW w:w="134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color w:val="000000"/>
                <w:sz w:val="20"/>
                <w:szCs w:val="24"/>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954"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9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4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954"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9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4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954"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9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4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954"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9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4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954"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9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4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4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954" w:type="pct"/>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99" w:type="pct"/>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48" w:type="pct"/>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048" w:type="pct"/>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49" w:type="pct"/>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5000" w:type="pct"/>
            <w:gridSpan w:val="5"/>
            <w:tcBorders>
              <w:top w:val="single" w:color="auto" w:sz="8" w:space="0"/>
              <w:left w:val="nil"/>
              <w:bottom w:val="nil"/>
              <w:right w:val="nil"/>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widowControl/>
              <w:jc w:val="left"/>
              <w:rPr>
                <w:rFonts w:hint="eastAsia" w:ascii="宋体" w:hAnsi="宋体" w:eastAsia="宋体" w:cs="宋体"/>
                <w:kern w:val="0"/>
                <w:sz w:val="24"/>
                <w:szCs w:val="24"/>
              </w:rPr>
            </w:pPr>
            <w:r>
              <w:rPr>
                <w:rFonts w:ascii="Times New Roman" w:hAnsi="Times New Roman" w:eastAsia="仿宋_GB2312" w:cs="Times New Roman"/>
                <w:kern w:val="0"/>
                <w:szCs w:val="21"/>
              </w:rPr>
              <w:t>(</w:t>
            </w:r>
            <w:r>
              <w:rPr>
                <w:rFonts w:hint="eastAsia" w:ascii="Times New Roman" w:hAnsi="Times New Roman" w:eastAsia="仿宋_GB2312" w:cs="Times New Roman"/>
                <w:color w:val="000000"/>
                <w:kern w:val="0"/>
                <w:szCs w:val="21"/>
              </w:rPr>
              <w:t>湖南省地质矿产勘查开发局四○五队</w:t>
            </w:r>
            <w:r>
              <w:rPr>
                <w:rFonts w:hint="eastAsia" w:ascii="Times New Roman" w:hAnsi="Times New Roman" w:eastAsia="仿宋_GB2312" w:cs="Times New Roman"/>
                <w:kern w:val="0"/>
                <w:szCs w:val="21"/>
              </w:rPr>
              <w:t>没有</w:t>
            </w:r>
            <w:r>
              <w:rPr>
                <w:rFonts w:hint="eastAsia" w:ascii="Times New Roman" w:hAnsi="Times New Roman" w:eastAsia="仿宋_GB2312" w:cs="Times New Roman"/>
                <w:kern w:val="0"/>
                <w:szCs w:val="21"/>
                <w:lang w:eastAsia="zh-CN"/>
              </w:rPr>
              <w:t>国有资本经营</w:t>
            </w:r>
            <w:r>
              <w:rPr>
                <w:rFonts w:hint="eastAsia" w:ascii="Times New Roman" w:hAnsi="Times New Roman" w:eastAsia="仿宋_GB2312" w:cs="Times New Roman"/>
                <w:kern w:val="0"/>
                <w:szCs w:val="21"/>
              </w:rPr>
              <w:t>收入，也没有</w:t>
            </w:r>
            <w:r>
              <w:rPr>
                <w:rFonts w:hint="eastAsia" w:ascii="Times New Roman" w:hAnsi="Times New Roman" w:eastAsia="仿宋_GB2312" w:cs="Times New Roman"/>
                <w:kern w:val="0"/>
                <w:szCs w:val="21"/>
                <w:lang w:eastAsia="zh-CN"/>
              </w:rPr>
              <w:t>国有资本经营</w:t>
            </w:r>
            <w:r>
              <w:rPr>
                <w:rFonts w:hint="eastAsia" w:ascii="Times New Roman" w:hAnsi="Times New Roman" w:eastAsia="仿宋_GB2312" w:cs="Times New Roman"/>
                <w:kern w:val="0"/>
                <w:szCs w:val="21"/>
              </w:rPr>
              <w:t>支出，故本表无数据</w:t>
            </w:r>
            <w:r>
              <w:rPr>
                <w:rFonts w:ascii="Times New Roman" w:hAnsi="Times New Roman" w:eastAsia="仿宋_GB2312" w:cs="Times New Roman"/>
                <w:kern w:val="0"/>
                <w:szCs w:val="21"/>
              </w:rPr>
              <w:t>)。</w:t>
            </w:r>
          </w:p>
        </w:tc>
      </w:tr>
    </w:tbl>
    <w:p>
      <w:pPr>
        <w:widowControl/>
        <w:ind w:left="239" w:leftChars="114" w:firstLine="210" w:firstLineChars="100"/>
        <w:jc w:val="center"/>
      </w:pPr>
    </w:p>
    <w:p>
      <w:pPr>
        <w:widowControl/>
        <w:ind w:left="239" w:leftChars="114" w:firstLine="210" w:firstLineChars="100"/>
        <w:jc w:val="center"/>
      </w:pPr>
    </w:p>
    <w:p>
      <w:pPr>
        <w:widowControl/>
        <w:ind w:left="239" w:leftChars="114" w:firstLine="210" w:firstLineChars="100"/>
        <w:jc w:val="center"/>
      </w:pPr>
    </w:p>
    <w:p>
      <w:pPr>
        <w:widowControl/>
        <w:ind w:left="239" w:leftChars="114" w:firstLine="210" w:firstLineChars="100"/>
        <w:jc w:val="center"/>
      </w:pPr>
    </w:p>
    <w:p>
      <w:pPr>
        <w:widowControl/>
        <w:ind w:left="239" w:leftChars="114" w:firstLine="210" w:firstLineChars="100"/>
        <w:jc w:val="center"/>
      </w:pPr>
    </w:p>
    <w:p>
      <w:pPr>
        <w:widowControl/>
        <w:ind w:left="239" w:leftChars="114" w:firstLine="210" w:firstLineChars="100"/>
        <w:jc w:val="center"/>
      </w:pPr>
    </w:p>
    <w:p>
      <w:pPr>
        <w:autoSpaceDE w:val="0"/>
        <w:autoSpaceDN w:val="0"/>
        <w:adjustRightInd w:val="0"/>
        <w:ind w:left="315" w:leftChars="150"/>
        <w:jc w:val="center"/>
      </w:pPr>
    </w:p>
    <w:p>
      <w:pPr>
        <w:autoSpaceDE w:val="0"/>
        <w:autoSpaceDN w:val="0"/>
        <w:adjustRightInd w:val="0"/>
        <w:ind w:left="315" w:leftChars="150"/>
        <w:jc w:val="center"/>
      </w:pPr>
    </w:p>
    <w:p>
      <w:pPr>
        <w:autoSpaceDE w:val="0"/>
        <w:autoSpaceDN w:val="0"/>
        <w:adjustRightInd w:val="0"/>
        <w:ind w:left="315" w:leftChars="150"/>
        <w:jc w:val="center"/>
        <w:rPr>
          <w:rFonts w:ascii="宋体" w:eastAsia="宋体" w:cs="宋体"/>
          <w:kern w:val="0"/>
          <w:sz w:val="24"/>
          <w:szCs w:val="24"/>
        </w:rPr>
      </w:pPr>
    </w:p>
    <w:p>
      <w:pPr>
        <w:widowControl/>
        <w:jc w:val="left"/>
        <w:rPr>
          <w:rFonts w:ascii="黑体" w:hAnsi="黑体" w:eastAsia="黑体"/>
          <w:szCs w:val="21"/>
        </w:rPr>
      </w:pPr>
    </w:p>
    <w:p>
      <w:pPr>
        <w:pStyle w:val="10"/>
        <w:rPr>
          <w:sz w:val="72"/>
          <w:szCs w:val="72"/>
        </w:rPr>
        <w:sectPr>
          <w:pgSz w:w="16838" w:h="11906" w:orient="landscape"/>
          <w:pgMar w:top="720" w:right="720" w:bottom="720" w:left="720" w:header="851" w:footer="992" w:gutter="0"/>
          <w:cols w:space="425" w:num="1"/>
          <w:docGrid w:type="lines" w:linePitch="312" w:charSpace="0"/>
        </w:sect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2021年度收</w:t>
      </w:r>
      <w:r>
        <w:rPr>
          <w:rFonts w:hint="eastAsia" w:asciiTheme="minorEastAsia" w:hAnsiTheme="minorEastAsia" w:eastAsiaTheme="minorEastAsia"/>
          <w:color w:val="auto"/>
          <w:sz w:val="32"/>
          <w:szCs w:val="32"/>
          <w:lang w:eastAsia="zh-CN"/>
        </w:rPr>
        <w:t>入总</w:t>
      </w:r>
      <w:r>
        <w:rPr>
          <w:rFonts w:hint="eastAsia" w:asciiTheme="minorEastAsia" w:hAnsiTheme="minorEastAsia" w:eastAsiaTheme="minorEastAsia"/>
          <w:color w:val="auto"/>
          <w:sz w:val="32"/>
          <w:szCs w:val="32"/>
        </w:rPr>
        <w:t>计</w:t>
      </w:r>
      <w:r>
        <w:rPr>
          <w:rFonts w:hint="eastAsia" w:asciiTheme="minorEastAsia" w:hAnsiTheme="minorEastAsia" w:eastAsiaTheme="minorEastAsia"/>
          <w:color w:val="auto"/>
          <w:sz w:val="32"/>
          <w:szCs w:val="32"/>
          <w:lang w:val="en-US" w:eastAsia="zh-CN"/>
        </w:rPr>
        <w:t>6377.53</w:t>
      </w:r>
      <w:r>
        <w:rPr>
          <w:rFonts w:hint="eastAsia" w:asciiTheme="minorEastAsia" w:hAnsiTheme="minorEastAsia" w:eastAsiaTheme="minorEastAsia"/>
          <w:color w:val="auto"/>
          <w:sz w:val="32"/>
          <w:szCs w:val="32"/>
        </w:rPr>
        <w:t>万元。与上年相比，减少</w:t>
      </w:r>
      <w:r>
        <w:rPr>
          <w:rFonts w:hint="eastAsia" w:asciiTheme="minorEastAsia" w:hAnsiTheme="minorEastAsia" w:eastAsiaTheme="minorEastAsia"/>
          <w:color w:val="auto"/>
          <w:sz w:val="32"/>
          <w:szCs w:val="32"/>
          <w:lang w:val="en-US" w:eastAsia="zh-CN"/>
        </w:rPr>
        <w:t>243.47</w:t>
      </w:r>
      <w:r>
        <w:rPr>
          <w:rFonts w:hint="eastAsia" w:asciiTheme="minorEastAsia" w:hAnsiTheme="minorEastAsia" w:eastAsiaTheme="minorEastAsia"/>
          <w:color w:val="auto"/>
          <w:sz w:val="32"/>
          <w:szCs w:val="32"/>
        </w:rPr>
        <w:t>万元，减少</w:t>
      </w:r>
      <w:r>
        <w:rPr>
          <w:rFonts w:hint="eastAsia" w:asciiTheme="minorEastAsia" w:hAnsiTheme="minorEastAsia" w:eastAsiaTheme="minorEastAsia"/>
          <w:color w:val="auto"/>
          <w:sz w:val="32"/>
          <w:szCs w:val="32"/>
          <w:lang w:val="en-US" w:eastAsia="zh-CN"/>
        </w:rPr>
        <w:t>3.68</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val="en-US" w:eastAsia="zh-CN"/>
        </w:rPr>
        <w:t>年初</w:t>
      </w:r>
      <w:r>
        <w:rPr>
          <w:rFonts w:hint="eastAsia" w:asciiTheme="minorEastAsia" w:hAnsiTheme="minorEastAsia" w:eastAsiaTheme="minorEastAsia"/>
          <w:color w:val="auto"/>
          <w:sz w:val="32"/>
          <w:szCs w:val="32"/>
        </w:rPr>
        <w:t>结转结余</w:t>
      </w:r>
      <w:r>
        <w:rPr>
          <w:rFonts w:hint="eastAsia" w:asciiTheme="minorEastAsia" w:hAnsiTheme="minorEastAsia" w:eastAsiaTheme="minorEastAsia"/>
          <w:color w:val="auto"/>
          <w:sz w:val="32"/>
          <w:szCs w:val="32"/>
          <w:lang w:eastAsia="zh-CN"/>
        </w:rPr>
        <w:t>本</w:t>
      </w:r>
      <w:r>
        <w:rPr>
          <w:rFonts w:hint="eastAsia" w:asciiTheme="minorEastAsia" w:hAnsiTheme="minorEastAsia" w:eastAsiaTheme="minorEastAsia"/>
          <w:color w:val="auto"/>
          <w:sz w:val="32"/>
          <w:szCs w:val="32"/>
        </w:rPr>
        <w:t>年</w:t>
      </w:r>
      <w:r>
        <w:rPr>
          <w:rFonts w:hint="eastAsia" w:asciiTheme="minorEastAsia" w:hAnsiTheme="minorEastAsia" w:eastAsiaTheme="minorEastAsia"/>
          <w:color w:val="auto"/>
          <w:sz w:val="32"/>
          <w:szCs w:val="32"/>
          <w:lang w:eastAsia="zh-CN"/>
        </w:rPr>
        <w:t>比</w:t>
      </w:r>
      <w:r>
        <w:rPr>
          <w:rFonts w:hint="eastAsia" w:asciiTheme="minorEastAsia" w:hAnsiTheme="minorEastAsia" w:eastAsiaTheme="minorEastAsia"/>
          <w:color w:val="auto"/>
          <w:sz w:val="32"/>
          <w:szCs w:val="32"/>
        </w:rPr>
        <w:t>上年</w:t>
      </w:r>
      <w:r>
        <w:rPr>
          <w:rFonts w:hint="eastAsia" w:asciiTheme="minorEastAsia" w:hAnsiTheme="minorEastAsia" w:eastAsiaTheme="minorEastAsia"/>
          <w:color w:val="auto"/>
          <w:sz w:val="32"/>
          <w:szCs w:val="32"/>
          <w:lang w:eastAsia="zh-CN"/>
        </w:rPr>
        <w:t>减少</w:t>
      </w:r>
      <w:r>
        <w:rPr>
          <w:rFonts w:hint="eastAsia" w:asciiTheme="minorEastAsia" w:hAnsiTheme="minorEastAsia" w:eastAsiaTheme="minorEastAsia"/>
          <w:color w:val="auto"/>
          <w:sz w:val="32"/>
          <w:szCs w:val="32"/>
          <w:lang w:val="en-US" w:eastAsia="zh-CN"/>
        </w:rPr>
        <w:t>339.06万元，减少60.55%；</w:t>
      </w:r>
      <w:r>
        <w:rPr>
          <w:rFonts w:hint="eastAsia" w:asciiTheme="minorEastAsia" w:hAnsiTheme="minorEastAsia" w:eastAsiaTheme="minorEastAsia"/>
          <w:color w:val="auto"/>
          <w:sz w:val="32"/>
          <w:szCs w:val="32"/>
        </w:rPr>
        <w:t>经营收</w:t>
      </w:r>
      <w:r>
        <w:rPr>
          <w:rFonts w:hint="eastAsia" w:asciiTheme="minorEastAsia" w:hAnsiTheme="minorEastAsia" w:eastAsiaTheme="minorEastAsia"/>
          <w:color w:val="auto"/>
          <w:sz w:val="32"/>
          <w:szCs w:val="32"/>
          <w:lang w:eastAsia="zh-CN"/>
        </w:rPr>
        <w:t>入本</w:t>
      </w:r>
      <w:r>
        <w:rPr>
          <w:rFonts w:hint="eastAsia" w:asciiTheme="minorEastAsia" w:hAnsiTheme="minorEastAsia" w:eastAsiaTheme="minorEastAsia"/>
          <w:color w:val="auto"/>
          <w:sz w:val="32"/>
          <w:szCs w:val="32"/>
        </w:rPr>
        <w:t>年</w:t>
      </w:r>
      <w:r>
        <w:rPr>
          <w:rFonts w:hint="eastAsia" w:asciiTheme="minorEastAsia" w:hAnsiTheme="minorEastAsia" w:eastAsiaTheme="minorEastAsia"/>
          <w:color w:val="auto"/>
          <w:sz w:val="32"/>
          <w:szCs w:val="32"/>
          <w:lang w:eastAsia="zh-CN"/>
        </w:rPr>
        <w:t>比</w:t>
      </w:r>
      <w:r>
        <w:rPr>
          <w:rFonts w:hint="eastAsia" w:asciiTheme="minorEastAsia" w:hAnsiTheme="minorEastAsia" w:eastAsiaTheme="minorEastAsia"/>
          <w:color w:val="auto"/>
          <w:sz w:val="32"/>
          <w:szCs w:val="32"/>
        </w:rPr>
        <w:t>上年</w:t>
      </w:r>
      <w:r>
        <w:rPr>
          <w:rFonts w:hint="eastAsia" w:asciiTheme="minorEastAsia" w:hAnsiTheme="minorEastAsia" w:eastAsiaTheme="minorEastAsia"/>
          <w:color w:val="auto"/>
          <w:sz w:val="32"/>
          <w:szCs w:val="32"/>
          <w:lang w:eastAsia="zh-CN"/>
        </w:rPr>
        <w:t>减少</w:t>
      </w:r>
      <w:r>
        <w:rPr>
          <w:rFonts w:hint="eastAsia" w:asciiTheme="minorEastAsia" w:hAnsiTheme="minorEastAsia" w:eastAsiaTheme="minorEastAsia"/>
          <w:color w:val="auto"/>
          <w:sz w:val="32"/>
          <w:szCs w:val="32"/>
          <w:lang w:val="en-US" w:eastAsia="zh-CN"/>
        </w:rPr>
        <w:t>135.45万元，减少7.03%；一般公共预算财政拨款收入</w:t>
      </w:r>
      <w:r>
        <w:rPr>
          <w:rFonts w:hint="eastAsia" w:asciiTheme="minorEastAsia" w:hAnsiTheme="minorEastAsia" w:eastAsiaTheme="minorEastAsia"/>
          <w:color w:val="auto"/>
          <w:sz w:val="32"/>
          <w:szCs w:val="32"/>
          <w:lang w:eastAsia="zh-CN"/>
        </w:rPr>
        <w:t>本</w:t>
      </w:r>
      <w:r>
        <w:rPr>
          <w:rFonts w:hint="eastAsia" w:asciiTheme="minorEastAsia" w:hAnsiTheme="minorEastAsia" w:eastAsiaTheme="minorEastAsia"/>
          <w:color w:val="auto"/>
          <w:sz w:val="32"/>
          <w:szCs w:val="32"/>
        </w:rPr>
        <w:t>年</w:t>
      </w:r>
      <w:r>
        <w:rPr>
          <w:rFonts w:hint="eastAsia" w:asciiTheme="minorEastAsia" w:hAnsiTheme="minorEastAsia" w:eastAsiaTheme="minorEastAsia"/>
          <w:color w:val="auto"/>
          <w:sz w:val="32"/>
          <w:szCs w:val="32"/>
          <w:lang w:eastAsia="zh-CN"/>
        </w:rPr>
        <w:t>比</w:t>
      </w:r>
      <w:r>
        <w:rPr>
          <w:rFonts w:hint="eastAsia" w:asciiTheme="minorEastAsia" w:hAnsiTheme="minorEastAsia" w:eastAsiaTheme="minorEastAsia"/>
          <w:color w:val="auto"/>
          <w:sz w:val="32"/>
          <w:szCs w:val="32"/>
        </w:rPr>
        <w:t>上年</w:t>
      </w:r>
      <w:r>
        <w:rPr>
          <w:rFonts w:hint="eastAsia" w:asciiTheme="minorEastAsia" w:hAnsiTheme="minorEastAsia" w:eastAsiaTheme="minorEastAsia"/>
          <w:color w:val="auto"/>
          <w:sz w:val="32"/>
          <w:szCs w:val="32"/>
          <w:lang w:eastAsia="zh-CN"/>
        </w:rPr>
        <w:t>增加</w:t>
      </w:r>
      <w:r>
        <w:rPr>
          <w:rFonts w:hint="eastAsia" w:asciiTheme="minorEastAsia" w:hAnsiTheme="minorEastAsia" w:eastAsiaTheme="minorEastAsia"/>
          <w:color w:val="auto"/>
          <w:sz w:val="32"/>
          <w:szCs w:val="32"/>
          <w:lang w:val="en-US" w:eastAsia="zh-CN"/>
        </w:rPr>
        <w:t>231.06万元，增加5.59%。</w:t>
      </w:r>
    </w:p>
    <w:p>
      <w:pPr>
        <w:pStyle w:val="10"/>
        <w:ind w:firstLine="640" w:firstLineChars="20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2021年度支</w:t>
      </w:r>
      <w:r>
        <w:rPr>
          <w:rFonts w:hint="eastAsia" w:asciiTheme="minorEastAsia" w:hAnsiTheme="minorEastAsia" w:eastAsiaTheme="minorEastAsia"/>
          <w:color w:val="auto"/>
          <w:sz w:val="32"/>
          <w:szCs w:val="32"/>
          <w:lang w:eastAsia="zh-CN"/>
        </w:rPr>
        <w:t>出</w:t>
      </w:r>
      <w:r>
        <w:rPr>
          <w:rFonts w:hint="eastAsia" w:asciiTheme="minorEastAsia" w:hAnsiTheme="minorEastAsia" w:eastAsiaTheme="minorEastAsia"/>
          <w:color w:val="auto"/>
          <w:sz w:val="32"/>
          <w:szCs w:val="32"/>
        </w:rPr>
        <w:t>总计</w:t>
      </w:r>
      <w:r>
        <w:rPr>
          <w:rFonts w:hint="eastAsia" w:asciiTheme="minorEastAsia" w:hAnsiTheme="minorEastAsia" w:eastAsiaTheme="minorEastAsia"/>
          <w:color w:val="auto"/>
          <w:sz w:val="32"/>
          <w:szCs w:val="32"/>
          <w:lang w:val="en-US" w:eastAsia="zh-CN"/>
        </w:rPr>
        <w:t>6377.53</w:t>
      </w:r>
      <w:r>
        <w:rPr>
          <w:rFonts w:hint="eastAsia" w:asciiTheme="minorEastAsia" w:hAnsiTheme="minorEastAsia" w:eastAsiaTheme="minorEastAsia"/>
          <w:color w:val="auto"/>
          <w:sz w:val="32"/>
          <w:szCs w:val="32"/>
        </w:rPr>
        <w:t>万元。与上年相比，减少</w:t>
      </w:r>
      <w:r>
        <w:rPr>
          <w:rFonts w:hint="eastAsia" w:asciiTheme="minorEastAsia" w:hAnsiTheme="minorEastAsia" w:eastAsiaTheme="minorEastAsia"/>
          <w:color w:val="auto"/>
          <w:sz w:val="32"/>
          <w:szCs w:val="32"/>
          <w:lang w:val="en-US" w:eastAsia="zh-CN"/>
        </w:rPr>
        <w:t>243.47</w:t>
      </w:r>
      <w:r>
        <w:rPr>
          <w:rFonts w:hint="eastAsia" w:asciiTheme="minorEastAsia" w:hAnsiTheme="minorEastAsia" w:eastAsiaTheme="minorEastAsia"/>
          <w:color w:val="auto"/>
          <w:sz w:val="32"/>
          <w:szCs w:val="32"/>
        </w:rPr>
        <w:t>万元，减少</w:t>
      </w:r>
      <w:r>
        <w:rPr>
          <w:rFonts w:hint="eastAsia" w:asciiTheme="minorEastAsia" w:hAnsiTheme="minorEastAsia" w:eastAsiaTheme="minorEastAsia"/>
          <w:color w:val="auto"/>
          <w:sz w:val="32"/>
          <w:szCs w:val="32"/>
          <w:lang w:val="en-US" w:eastAsia="zh-CN"/>
        </w:rPr>
        <w:t>3.68</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eastAsia="zh-CN"/>
        </w:rPr>
        <w:t>本</w:t>
      </w:r>
      <w:r>
        <w:rPr>
          <w:rFonts w:hint="eastAsia" w:asciiTheme="minorEastAsia" w:hAnsiTheme="minorEastAsia" w:eastAsiaTheme="minorEastAsia"/>
          <w:color w:val="auto"/>
          <w:sz w:val="32"/>
          <w:szCs w:val="32"/>
        </w:rPr>
        <w:t>年</w:t>
      </w:r>
      <w:r>
        <w:rPr>
          <w:rFonts w:hint="eastAsia" w:asciiTheme="minorEastAsia" w:hAnsiTheme="minorEastAsia" w:eastAsiaTheme="minorEastAsia"/>
          <w:color w:val="auto"/>
          <w:sz w:val="32"/>
          <w:szCs w:val="32"/>
          <w:lang w:eastAsia="zh-CN"/>
        </w:rPr>
        <w:t>支出合计比</w:t>
      </w:r>
      <w:r>
        <w:rPr>
          <w:rFonts w:hint="eastAsia" w:asciiTheme="minorEastAsia" w:hAnsiTheme="minorEastAsia" w:eastAsiaTheme="minorEastAsia"/>
          <w:color w:val="auto"/>
          <w:sz w:val="32"/>
          <w:szCs w:val="32"/>
        </w:rPr>
        <w:t>上年</w:t>
      </w:r>
      <w:r>
        <w:rPr>
          <w:rFonts w:hint="eastAsia" w:asciiTheme="minorEastAsia" w:hAnsiTheme="minorEastAsia" w:eastAsiaTheme="minorEastAsia"/>
          <w:color w:val="auto"/>
          <w:sz w:val="32"/>
          <w:szCs w:val="32"/>
          <w:lang w:eastAsia="zh-CN"/>
        </w:rPr>
        <w:t>支出合计减少</w:t>
      </w:r>
      <w:r>
        <w:rPr>
          <w:rFonts w:hint="eastAsia" w:asciiTheme="minorEastAsia" w:hAnsiTheme="minorEastAsia" w:eastAsiaTheme="minorEastAsia"/>
          <w:color w:val="auto"/>
          <w:sz w:val="32"/>
          <w:szCs w:val="32"/>
          <w:lang w:val="en-US" w:eastAsia="zh-CN"/>
        </w:rPr>
        <w:t>351.01万元，减少5.48%；</w:t>
      </w:r>
      <w:r>
        <w:rPr>
          <w:rFonts w:hint="eastAsia" w:asciiTheme="minorEastAsia" w:hAnsiTheme="minorEastAsia" w:eastAsiaTheme="minorEastAsia"/>
          <w:color w:val="auto"/>
          <w:sz w:val="32"/>
          <w:szCs w:val="32"/>
          <w:lang w:eastAsia="zh-CN"/>
        </w:rPr>
        <w:t>年末结转和结余本</w:t>
      </w:r>
      <w:r>
        <w:rPr>
          <w:rFonts w:hint="eastAsia" w:asciiTheme="minorEastAsia" w:hAnsiTheme="minorEastAsia" w:eastAsiaTheme="minorEastAsia"/>
          <w:color w:val="auto"/>
          <w:sz w:val="32"/>
          <w:szCs w:val="32"/>
        </w:rPr>
        <w:t>年</w:t>
      </w:r>
      <w:r>
        <w:rPr>
          <w:rFonts w:hint="eastAsia" w:asciiTheme="minorEastAsia" w:hAnsiTheme="minorEastAsia" w:eastAsiaTheme="minorEastAsia"/>
          <w:color w:val="auto"/>
          <w:sz w:val="32"/>
          <w:szCs w:val="32"/>
          <w:lang w:eastAsia="zh-CN"/>
        </w:rPr>
        <w:t>比</w:t>
      </w:r>
      <w:r>
        <w:rPr>
          <w:rFonts w:hint="eastAsia" w:asciiTheme="minorEastAsia" w:hAnsiTheme="minorEastAsia" w:eastAsiaTheme="minorEastAsia"/>
          <w:color w:val="auto"/>
          <w:sz w:val="32"/>
          <w:szCs w:val="32"/>
        </w:rPr>
        <w:t>上年</w:t>
      </w:r>
      <w:r>
        <w:rPr>
          <w:rFonts w:hint="eastAsia" w:asciiTheme="minorEastAsia" w:hAnsiTheme="minorEastAsia" w:eastAsiaTheme="minorEastAsia"/>
          <w:color w:val="auto"/>
          <w:sz w:val="32"/>
          <w:szCs w:val="32"/>
          <w:lang w:eastAsia="zh-CN"/>
        </w:rPr>
        <w:t>增加</w:t>
      </w:r>
      <w:r>
        <w:rPr>
          <w:rFonts w:hint="eastAsia" w:asciiTheme="minorEastAsia" w:hAnsiTheme="minorEastAsia" w:eastAsiaTheme="minorEastAsia"/>
          <w:color w:val="auto"/>
          <w:sz w:val="32"/>
          <w:szCs w:val="32"/>
          <w:lang w:val="en-US" w:eastAsia="zh-CN"/>
        </w:rPr>
        <w:t>107.54万元，增加48.68%。</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6156.61</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4365.19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70.90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1791.42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29.10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6049.06</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3072.97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50.80</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1184.67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19.58</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1791.42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29.62</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2021年度财政拨款收</w:t>
      </w:r>
      <w:r>
        <w:rPr>
          <w:rFonts w:hint="eastAsia" w:asciiTheme="minorEastAsia" w:hAnsiTheme="minorEastAsia" w:eastAsiaTheme="minorEastAsia"/>
          <w:color w:val="auto"/>
          <w:sz w:val="32"/>
          <w:szCs w:val="32"/>
          <w:lang w:eastAsia="zh-CN"/>
        </w:rPr>
        <w:t>入</w:t>
      </w:r>
      <w:r>
        <w:rPr>
          <w:rFonts w:hint="eastAsia" w:asciiTheme="minorEastAsia" w:hAnsiTheme="minorEastAsia" w:eastAsiaTheme="minorEastAsia"/>
          <w:color w:val="auto"/>
          <w:sz w:val="32"/>
          <w:szCs w:val="32"/>
        </w:rPr>
        <w:t>总计</w:t>
      </w:r>
      <w:r>
        <w:rPr>
          <w:rFonts w:hint="eastAsia" w:asciiTheme="minorEastAsia" w:hAnsiTheme="minorEastAsia" w:eastAsiaTheme="minorEastAsia"/>
          <w:color w:val="auto"/>
          <w:sz w:val="32"/>
          <w:szCs w:val="32"/>
          <w:lang w:val="en-US" w:eastAsia="zh-CN"/>
        </w:rPr>
        <w:t>4586.12</w:t>
      </w:r>
      <w:r>
        <w:rPr>
          <w:rFonts w:hint="eastAsia" w:asciiTheme="minorEastAsia" w:hAnsiTheme="minorEastAsia" w:eastAsiaTheme="minorEastAsia"/>
          <w:color w:val="auto"/>
          <w:sz w:val="32"/>
          <w:szCs w:val="32"/>
        </w:rPr>
        <w:t>万元，与上年相比，减少</w:t>
      </w:r>
      <w:r>
        <w:rPr>
          <w:rFonts w:hint="eastAsia" w:asciiTheme="minorEastAsia" w:hAnsiTheme="minorEastAsia" w:eastAsiaTheme="minorEastAsia"/>
          <w:color w:val="auto"/>
          <w:sz w:val="32"/>
          <w:szCs w:val="32"/>
          <w:lang w:val="en-US" w:eastAsia="zh-CN"/>
        </w:rPr>
        <w:t>108</w:t>
      </w:r>
      <w:r>
        <w:rPr>
          <w:rFonts w:hint="eastAsia" w:asciiTheme="minorEastAsia" w:hAnsiTheme="minorEastAsia" w:eastAsiaTheme="minorEastAsia"/>
          <w:color w:val="auto"/>
          <w:sz w:val="32"/>
          <w:szCs w:val="32"/>
        </w:rPr>
        <w:t>万元,减少</w:t>
      </w:r>
      <w:r>
        <w:rPr>
          <w:rFonts w:hint="eastAsia" w:asciiTheme="minorEastAsia" w:hAnsiTheme="minorEastAsia" w:eastAsiaTheme="minorEastAsia"/>
          <w:color w:val="auto"/>
          <w:sz w:val="32"/>
          <w:szCs w:val="32"/>
          <w:lang w:val="en-US" w:eastAsia="zh-CN"/>
        </w:rPr>
        <w:t>2.30</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val="en-US" w:eastAsia="zh-CN"/>
        </w:rPr>
        <w:t>年初财政拨款</w:t>
      </w:r>
      <w:r>
        <w:rPr>
          <w:rFonts w:hint="eastAsia" w:asciiTheme="minorEastAsia" w:hAnsiTheme="minorEastAsia" w:eastAsiaTheme="minorEastAsia"/>
          <w:color w:val="auto"/>
          <w:sz w:val="32"/>
          <w:szCs w:val="32"/>
        </w:rPr>
        <w:t>结转</w:t>
      </w:r>
      <w:r>
        <w:rPr>
          <w:rFonts w:hint="eastAsia" w:asciiTheme="minorEastAsia" w:hAnsiTheme="minorEastAsia" w:eastAsiaTheme="minorEastAsia"/>
          <w:color w:val="auto"/>
          <w:sz w:val="32"/>
          <w:szCs w:val="32"/>
          <w:lang w:eastAsia="zh-CN"/>
        </w:rPr>
        <w:t>和</w:t>
      </w:r>
      <w:r>
        <w:rPr>
          <w:rFonts w:hint="eastAsia" w:asciiTheme="minorEastAsia" w:hAnsiTheme="minorEastAsia" w:eastAsiaTheme="minorEastAsia"/>
          <w:color w:val="auto"/>
          <w:sz w:val="32"/>
          <w:szCs w:val="32"/>
        </w:rPr>
        <w:t>结余</w:t>
      </w:r>
      <w:r>
        <w:rPr>
          <w:rFonts w:hint="eastAsia" w:asciiTheme="minorEastAsia" w:hAnsiTheme="minorEastAsia" w:eastAsiaTheme="minorEastAsia"/>
          <w:color w:val="auto"/>
          <w:sz w:val="32"/>
          <w:szCs w:val="32"/>
          <w:lang w:eastAsia="zh-CN"/>
        </w:rPr>
        <w:t>本</w:t>
      </w:r>
      <w:r>
        <w:rPr>
          <w:rFonts w:hint="eastAsia" w:asciiTheme="minorEastAsia" w:hAnsiTheme="minorEastAsia" w:eastAsiaTheme="minorEastAsia"/>
          <w:color w:val="auto"/>
          <w:sz w:val="32"/>
          <w:szCs w:val="32"/>
        </w:rPr>
        <w:t>年</w:t>
      </w:r>
      <w:r>
        <w:rPr>
          <w:rFonts w:hint="eastAsia" w:asciiTheme="minorEastAsia" w:hAnsiTheme="minorEastAsia" w:eastAsiaTheme="minorEastAsia"/>
          <w:color w:val="auto"/>
          <w:sz w:val="32"/>
          <w:szCs w:val="32"/>
          <w:lang w:eastAsia="zh-CN"/>
        </w:rPr>
        <w:t>比</w:t>
      </w:r>
      <w:r>
        <w:rPr>
          <w:rFonts w:hint="eastAsia" w:asciiTheme="minorEastAsia" w:hAnsiTheme="minorEastAsia" w:eastAsiaTheme="minorEastAsia"/>
          <w:color w:val="auto"/>
          <w:sz w:val="32"/>
          <w:szCs w:val="32"/>
        </w:rPr>
        <w:t>上年</w:t>
      </w:r>
      <w:r>
        <w:rPr>
          <w:rFonts w:hint="eastAsia" w:asciiTheme="minorEastAsia" w:hAnsiTheme="minorEastAsia" w:eastAsiaTheme="minorEastAsia"/>
          <w:color w:val="auto"/>
          <w:sz w:val="32"/>
          <w:szCs w:val="32"/>
          <w:lang w:eastAsia="zh-CN"/>
        </w:rPr>
        <w:t>减少</w:t>
      </w:r>
      <w:r>
        <w:rPr>
          <w:rFonts w:hint="eastAsia" w:asciiTheme="minorEastAsia" w:hAnsiTheme="minorEastAsia" w:eastAsiaTheme="minorEastAsia"/>
          <w:color w:val="auto"/>
          <w:sz w:val="32"/>
          <w:szCs w:val="32"/>
          <w:lang w:val="en-US" w:eastAsia="zh-CN"/>
        </w:rPr>
        <w:t>339.06万元，减少60.55%；一般公共预算财政拨款</w:t>
      </w:r>
      <w:r>
        <w:rPr>
          <w:rFonts w:hint="eastAsia" w:asciiTheme="minorEastAsia" w:hAnsiTheme="minorEastAsia" w:eastAsiaTheme="minorEastAsia"/>
          <w:color w:val="auto"/>
          <w:sz w:val="32"/>
          <w:szCs w:val="32"/>
          <w:lang w:eastAsia="zh-CN"/>
        </w:rPr>
        <w:t>本</w:t>
      </w:r>
      <w:r>
        <w:rPr>
          <w:rFonts w:hint="eastAsia" w:asciiTheme="minorEastAsia" w:hAnsiTheme="minorEastAsia" w:eastAsiaTheme="minorEastAsia"/>
          <w:color w:val="auto"/>
          <w:sz w:val="32"/>
          <w:szCs w:val="32"/>
        </w:rPr>
        <w:t>年</w:t>
      </w:r>
      <w:r>
        <w:rPr>
          <w:rFonts w:hint="eastAsia" w:asciiTheme="minorEastAsia" w:hAnsiTheme="minorEastAsia" w:eastAsiaTheme="minorEastAsia"/>
          <w:color w:val="auto"/>
          <w:sz w:val="32"/>
          <w:szCs w:val="32"/>
          <w:lang w:eastAsia="zh-CN"/>
        </w:rPr>
        <w:t>比</w:t>
      </w:r>
      <w:r>
        <w:rPr>
          <w:rFonts w:hint="eastAsia" w:asciiTheme="minorEastAsia" w:hAnsiTheme="minorEastAsia" w:eastAsiaTheme="minorEastAsia"/>
          <w:color w:val="auto"/>
          <w:sz w:val="32"/>
          <w:szCs w:val="32"/>
        </w:rPr>
        <w:t>上年</w:t>
      </w:r>
      <w:r>
        <w:rPr>
          <w:rFonts w:hint="eastAsia" w:asciiTheme="minorEastAsia" w:hAnsiTheme="minorEastAsia" w:eastAsiaTheme="minorEastAsia"/>
          <w:color w:val="auto"/>
          <w:sz w:val="32"/>
          <w:szCs w:val="32"/>
          <w:lang w:eastAsia="zh-CN"/>
        </w:rPr>
        <w:t>增加</w:t>
      </w:r>
      <w:r>
        <w:rPr>
          <w:rFonts w:hint="eastAsia" w:asciiTheme="minorEastAsia" w:hAnsiTheme="minorEastAsia" w:eastAsiaTheme="minorEastAsia"/>
          <w:color w:val="auto"/>
          <w:sz w:val="32"/>
          <w:szCs w:val="32"/>
          <w:lang w:val="en-US" w:eastAsia="zh-CN"/>
        </w:rPr>
        <w:t>231.06万元，增加5.59%。</w:t>
      </w:r>
    </w:p>
    <w:p>
      <w:pPr>
        <w:pStyle w:val="10"/>
        <w:ind w:firstLine="64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2021年度财政拨款支</w:t>
      </w:r>
      <w:r>
        <w:rPr>
          <w:rFonts w:hint="eastAsia" w:asciiTheme="minorEastAsia" w:hAnsiTheme="minorEastAsia" w:eastAsiaTheme="minorEastAsia"/>
          <w:color w:val="auto"/>
          <w:sz w:val="32"/>
          <w:szCs w:val="32"/>
          <w:lang w:eastAsia="zh-CN"/>
        </w:rPr>
        <w:t>出</w:t>
      </w:r>
      <w:r>
        <w:rPr>
          <w:rFonts w:hint="eastAsia" w:asciiTheme="minorEastAsia" w:hAnsiTheme="minorEastAsia" w:eastAsiaTheme="minorEastAsia"/>
          <w:color w:val="auto"/>
          <w:sz w:val="32"/>
          <w:szCs w:val="32"/>
        </w:rPr>
        <w:t>总计</w:t>
      </w:r>
      <w:r>
        <w:rPr>
          <w:rFonts w:hint="eastAsia" w:asciiTheme="minorEastAsia" w:hAnsiTheme="minorEastAsia" w:eastAsiaTheme="minorEastAsia"/>
          <w:color w:val="auto"/>
          <w:sz w:val="32"/>
          <w:szCs w:val="32"/>
          <w:lang w:val="en-US" w:eastAsia="zh-CN"/>
        </w:rPr>
        <w:t>4586.12</w:t>
      </w:r>
      <w:r>
        <w:rPr>
          <w:rFonts w:hint="eastAsia" w:asciiTheme="minorEastAsia" w:hAnsiTheme="minorEastAsia" w:eastAsiaTheme="minorEastAsia"/>
          <w:color w:val="auto"/>
          <w:sz w:val="32"/>
          <w:szCs w:val="32"/>
        </w:rPr>
        <w:t>万元，与上年相比，减少</w:t>
      </w:r>
      <w:r>
        <w:rPr>
          <w:rFonts w:hint="eastAsia" w:asciiTheme="minorEastAsia" w:hAnsiTheme="minorEastAsia" w:eastAsiaTheme="minorEastAsia"/>
          <w:color w:val="auto"/>
          <w:sz w:val="32"/>
          <w:szCs w:val="32"/>
          <w:lang w:val="en-US" w:eastAsia="zh-CN"/>
        </w:rPr>
        <w:t>108</w:t>
      </w:r>
      <w:r>
        <w:rPr>
          <w:rFonts w:hint="eastAsia" w:asciiTheme="minorEastAsia" w:hAnsiTheme="minorEastAsia" w:eastAsiaTheme="minorEastAsia"/>
          <w:color w:val="auto"/>
          <w:sz w:val="32"/>
          <w:szCs w:val="32"/>
        </w:rPr>
        <w:t>万元,减少</w:t>
      </w:r>
      <w:r>
        <w:rPr>
          <w:rFonts w:hint="eastAsia" w:asciiTheme="minorEastAsia" w:hAnsiTheme="minorEastAsia" w:eastAsiaTheme="minorEastAsia"/>
          <w:color w:val="auto"/>
          <w:sz w:val="32"/>
          <w:szCs w:val="32"/>
          <w:lang w:val="en-US" w:eastAsia="zh-CN"/>
        </w:rPr>
        <w:t>2.30</w:t>
      </w:r>
      <w:r>
        <w:rPr>
          <w:rFonts w:hint="eastAsia" w:asciiTheme="minorEastAsia" w:hAnsiTheme="minorEastAsia" w:eastAsiaTheme="minorEastAsia"/>
          <w:color w:val="auto"/>
          <w:sz w:val="32"/>
          <w:szCs w:val="32"/>
        </w:rPr>
        <w:t>%，主要是因为</w:t>
      </w:r>
      <w:r>
        <w:rPr>
          <w:rFonts w:hint="eastAsia" w:asciiTheme="minorEastAsia" w:hAnsiTheme="minorEastAsia" w:eastAsiaTheme="minorEastAsia"/>
          <w:color w:val="auto"/>
          <w:sz w:val="32"/>
          <w:szCs w:val="32"/>
          <w:lang w:eastAsia="zh-CN"/>
        </w:rPr>
        <w:t>本</w:t>
      </w:r>
      <w:r>
        <w:rPr>
          <w:rFonts w:hint="eastAsia" w:asciiTheme="minorEastAsia" w:hAnsiTheme="minorEastAsia" w:eastAsiaTheme="minorEastAsia"/>
          <w:color w:val="auto"/>
          <w:sz w:val="32"/>
          <w:szCs w:val="32"/>
        </w:rPr>
        <w:t>年</w:t>
      </w:r>
      <w:r>
        <w:rPr>
          <w:rFonts w:hint="eastAsia" w:asciiTheme="minorEastAsia" w:hAnsiTheme="minorEastAsia" w:eastAsiaTheme="minorEastAsia"/>
          <w:color w:val="auto"/>
          <w:sz w:val="32"/>
          <w:szCs w:val="32"/>
          <w:lang w:eastAsia="zh-CN"/>
        </w:rPr>
        <w:t>支出合计比</w:t>
      </w:r>
      <w:r>
        <w:rPr>
          <w:rFonts w:hint="eastAsia" w:asciiTheme="minorEastAsia" w:hAnsiTheme="minorEastAsia" w:eastAsiaTheme="minorEastAsia"/>
          <w:color w:val="auto"/>
          <w:sz w:val="32"/>
          <w:szCs w:val="32"/>
        </w:rPr>
        <w:t>上年</w:t>
      </w:r>
      <w:r>
        <w:rPr>
          <w:rFonts w:hint="eastAsia" w:asciiTheme="minorEastAsia" w:hAnsiTheme="minorEastAsia" w:eastAsiaTheme="minorEastAsia"/>
          <w:color w:val="auto"/>
          <w:sz w:val="32"/>
          <w:szCs w:val="32"/>
          <w:lang w:eastAsia="zh-CN"/>
        </w:rPr>
        <w:t>支出合计减少</w:t>
      </w:r>
      <w:r>
        <w:rPr>
          <w:rFonts w:hint="eastAsia" w:asciiTheme="minorEastAsia" w:hAnsiTheme="minorEastAsia" w:eastAsiaTheme="minorEastAsia"/>
          <w:color w:val="auto"/>
          <w:sz w:val="32"/>
          <w:szCs w:val="32"/>
          <w:lang w:val="en-US" w:eastAsia="zh-CN"/>
        </w:rPr>
        <w:t>215.56万元，减少4.82%；年末财政拨款</w:t>
      </w:r>
      <w:r>
        <w:rPr>
          <w:rFonts w:hint="eastAsia" w:asciiTheme="minorEastAsia" w:hAnsiTheme="minorEastAsia" w:eastAsiaTheme="minorEastAsia"/>
          <w:color w:val="auto"/>
          <w:sz w:val="32"/>
          <w:szCs w:val="32"/>
        </w:rPr>
        <w:t>结转</w:t>
      </w:r>
      <w:r>
        <w:rPr>
          <w:rFonts w:hint="eastAsia" w:asciiTheme="minorEastAsia" w:hAnsiTheme="minorEastAsia" w:eastAsiaTheme="minorEastAsia"/>
          <w:color w:val="auto"/>
          <w:sz w:val="32"/>
          <w:szCs w:val="32"/>
          <w:lang w:eastAsia="zh-CN"/>
        </w:rPr>
        <w:t>和</w:t>
      </w:r>
      <w:r>
        <w:rPr>
          <w:rFonts w:hint="eastAsia" w:asciiTheme="minorEastAsia" w:hAnsiTheme="minorEastAsia" w:eastAsiaTheme="minorEastAsia"/>
          <w:color w:val="auto"/>
          <w:sz w:val="32"/>
          <w:szCs w:val="32"/>
        </w:rPr>
        <w:t>结余</w:t>
      </w:r>
      <w:r>
        <w:rPr>
          <w:rFonts w:hint="eastAsia" w:asciiTheme="minorEastAsia" w:hAnsiTheme="minorEastAsia" w:eastAsiaTheme="minorEastAsia"/>
          <w:color w:val="auto"/>
          <w:sz w:val="32"/>
          <w:szCs w:val="32"/>
          <w:lang w:eastAsia="zh-CN"/>
        </w:rPr>
        <w:t>本</w:t>
      </w:r>
      <w:r>
        <w:rPr>
          <w:rFonts w:hint="eastAsia" w:asciiTheme="minorEastAsia" w:hAnsiTheme="minorEastAsia" w:eastAsiaTheme="minorEastAsia"/>
          <w:color w:val="auto"/>
          <w:sz w:val="32"/>
          <w:szCs w:val="32"/>
        </w:rPr>
        <w:t>年</w:t>
      </w:r>
      <w:r>
        <w:rPr>
          <w:rFonts w:hint="eastAsia" w:asciiTheme="minorEastAsia" w:hAnsiTheme="minorEastAsia" w:eastAsiaTheme="minorEastAsia"/>
          <w:color w:val="auto"/>
          <w:sz w:val="32"/>
          <w:szCs w:val="32"/>
          <w:lang w:eastAsia="zh-CN"/>
        </w:rPr>
        <w:t>比</w:t>
      </w:r>
      <w:r>
        <w:rPr>
          <w:rFonts w:hint="eastAsia" w:asciiTheme="minorEastAsia" w:hAnsiTheme="minorEastAsia" w:eastAsiaTheme="minorEastAsia"/>
          <w:color w:val="auto"/>
          <w:sz w:val="32"/>
          <w:szCs w:val="32"/>
        </w:rPr>
        <w:t>上年度</w:t>
      </w:r>
      <w:r>
        <w:rPr>
          <w:rFonts w:hint="eastAsia" w:asciiTheme="minorEastAsia" w:hAnsiTheme="minorEastAsia" w:eastAsiaTheme="minorEastAsia"/>
          <w:color w:val="auto"/>
          <w:sz w:val="32"/>
          <w:szCs w:val="32"/>
          <w:lang w:eastAsia="zh-CN"/>
        </w:rPr>
        <w:t>增加</w:t>
      </w:r>
      <w:r>
        <w:rPr>
          <w:rFonts w:hint="eastAsia" w:asciiTheme="minorEastAsia" w:hAnsiTheme="minorEastAsia" w:eastAsiaTheme="minorEastAsia"/>
          <w:color w:val="auto"/>
          <w:sz w:val="32"/>
          <w:szCs w:val="32"/>
          <w:lang w:val="en-US" w:eastAsia="zh-CN"/>
        </w:rPr>
        <w:t>107.54万元，增加48.68%。</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4257.64</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70.39</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215.56</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4.82</w:t>
      </w:r>
      <w:r>
        <w:rPr>
          <w:rFonts w:hint="eastAsia" w:asciiTheme="minorEastAsia" w:hAnsiTheme="minorEastAsia" w:eastAsiaTheme="minorEastAsia"/>
          <w:sz w:val="32"/>
          <w:szCs w:val="32"/>
        </w:rPr>
        <w:t>%，主要是因为财政拨款</w:t>
      </w:r>
      <w:r>
        <w:rPr>
          <w:rFonts w:hint="eastAsia" w:asciiTheme="minorEastAsia" w:hAnsiTheme="minorEastAsia" w:eastAsiaTheme="minorEastAsia"/>
          <w:sz w:val="32"/>
          <w:szCs w:val="32"/>
          <w:lang w:eastAsia="zh-CN"/>
        </w:rPr>
        <w:t>支出基本</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eastAsia="zh-CN"/>
        </w:rPr>
        <w:t>本</w:t>
      </w:r>
      <w:r>
        <w:rPr>
          <w:rFonts w:hint="eastAsia" w:asciiTheme="minorEastAsia" w:hAnsiTheme="minorEastAsia" w:eastAsiaTheme="minorEastAsia"/>
          <w:sz w:val="32"/>
          <w:szCs w:val="32"/>
        </w:rPr>
        <w:t>年度</w:t>
      </w:r>
      <w:r>
        <w:rPr>
          <w:rFonts w:hint="eastAsia" w:asciiTheme="minorEastAsia" w:hAnsiTheme="minorEastAsia" w:eastAsiaTheme="minorEastAsia"/>
          <w:sz w:val="32"/>
          <w:szCs w:val="32"/>
          <w:lang w:eastAsia="zh-CN"/>
        </w:rPr>
        <w:t>比</w:t>
      </w:r>
      <w:r>
        <w:rPr>
          <w:rFonts w:hint="eastAsia" w:asciiTheme="minorEastAsia" w:hAnsiTheme="minorEastAsia" w:eastAsiaTheme="minorEastAsia"/>
          <w:sz w:val="32"/>
          <w:szCs w:val="32"/>
        </w:rPr>
        <w:t>上年度</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538.19万元，减少14.90%；</w:t>
      </w:r>
      <w:r>
        <w:rPr>
          <w:rFonts w:hint="eastAsia" w:asciiTheme="minorEastAsia" w:hAnsiTheme="minorEastAsia" w:eastAsiaTheme="minorEastAsia"/>
          <w:sz w:val="32"/>
          <w:szCs w:val="32"/>
        </w:rPr>
        <w:t>财政拨款</w:t>
      </w:r>
      <w:r>
        <w:rPr>
          <w:rFonts w:hint="eastAsia" w:asciiTheme="minorEastAsia" w:hAnsiTheme="minorEastAsia" w:eastAsiaTheme="minorEastAsia"/>
          <w:sz w:val="32"/>
          <w:szCs w:val="32"/>
          <w:lang w:eastAsia="zh-CN"/>
        </w:rPr>
        <w:t>支出项目</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eastAsia="zh-CN"/>
        </w:rPr>
        <w:t>本</w:t>
      </w:r>
      <w:r>
        <w:rPr>
          <w:rFonts w:hint="eastAsia" w:asciiTheme="minorEastAsia" w:hAnsiTheme="minorEastAsia" w:eastAsiaTheme="minorEastAsia"/>
          <w:sz w:val="32"/>
          <w:szCs w:val="32"/>
        </w:rPr>
        <w:t>年度</w:t>
      </w:r>
      <w:r>
        <w:rPr>
          <w:rFonts w:hint="eastAsia" w:asciiTheme="minorEastAsia" w:hAnsiTheme="minorEastAsia" w:eastAsiaTheme="minorEastAsia"/>
          <w:sz w:val="32"/>
          <w:szCs w:val="32"/>
          <w:lang w:eastAsia="zh-CN"/>
        </w:rPr>
        <w:t>比</w:t>
      </w:r>
      <w:r>
        <w:rPr>
          <w:rFonts w:hint="eastAsia" w:asciiTheme="minorEastAsia" w:hAnsiTheme="minorEastAsia" w:eastAsiaTheme="minorEastAsia"/>
          <w:sz w:val="32"/>
          <w:szCs w:val="32"/>
        </w:rPr>
        <w:t>上年度</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322.63万元，增加37.43%。</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4257.64</w:t>
      </w:r>
      <w:r>
        <w:rPr>
          <w:rFonts w:hint="eastAsia" w:asciiTheme="minorEastAsia" w:hAnsiTheme="minorEastAsia" w:eastAsiaTheme="minorEastAsia"/>
          <w:sz w:val="32"/>
          <w:szCs w:val="32"/>
        </w:rPr>
        <w:t>万元，主要用于以下方面：社会保障和就业支出</w:t>
      </w:r>
      <w:r>
        <w:rPr>
          <w:rFonts w:hint="eastAsia" w:asciiTheme="minorEastAsia" w:hAnsiTheme="minorEastAsia" w:eastAsiaTheme="minorEastAsia"/>
          <w:sz w:val="32"/>
          <w:szCs w:val="32"/>
          <w:lang w:val="en-US" w:eastAsia="zh-CN"/>
        </w:rPr>
        <w:t>488.92</w:t>
      </w:r>
      <w:r>
        <w:rPr>
          <w:rFonts w:hint="eastAsia" w:asciiTheme="minorEastAsia" w:hAnsiTheme="minorEastAsia" w:eastAsiaTheme="minorEastAsia"/>
          <w:sz w:val="32"/>
          <w:szCs w:val="32"/>
        </w:rPr>
        <w:t>万元，占11.4</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%；卫生健康支出</w:t>
      </w:r>
      <w:r>
        <w:rPr>
          <w:rFonts w:hint="eastAsia" w:asciiTheme="minorEastAsia" w:hAnsiTheme="minorEastAsia" w:eastAsiaTheme="minorEastAsia"/>
          <w:sz w:val="32"/>
          <w:szCs w:val="32"/>
          <w:lang w:val="en-US" w:eastAsia="zh-CN"/>
        </w:rPr>
        <w:t>185.36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4.35</w:t>
      </w:r>
      <w:r>
        <w:rPr>
          <w:rFonts w:hint="eastAsia" w:asciiTheme="minorEastAsia" w:hAnsiTheme="minorEastAsia" w:eastAsiaTheme="minorEastAsia"/>
          <w:sz w:val="32"/>
          <w:szCs w:val="32"/>
        </w:rPr>
        <w:t>%；资源勘探工业信息</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53.87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1.27</w:t>
      </w:r>
      <w:r>
        <w:rPr>
          <w:rFonts w:hint="eastAsia" w:asciiTheme="minorEastAsia" w:hAnsiTheme="minorEastAsia" w:eastAsiaTheme="minorEastAsia"/>
          <w:sz w:val="32"/>
          <w:szCs w:val="32"/>
        </w:rPr>
        <w:t>%；自然资源海洋气象</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支出25</w:t>
      </w:r>
      <w:r>
        <w:rPr>
          <w:rFonts w:hint="eastAsia" w:asciiTheme="minorEastAsia" w:hAnsiTheme="minorEastAsia" w:eastAsiaTheme="minorEastAsia"/>
          <w:sz w:val="32"/>
          <w:szCs w:val="32"/>
          <w:lang w:val="en-US" w:eastAsia="zh-CN"/>
        </w:rPr>
        <w:t>18.37</w:t>
      </w:r>
      <w:r>
        <w:rPr>
          <w:rFonts w:hint="eastAsia" w:asciiTheme="minorEastAsia" w:hAnsiTheme="minorEastAsia" w:eastAsiaTheme="minorEastAsia"/>
          <w:sz w:val="32"/>
          <w:szCs w:val="32"/>
        </w:rPr>
        <w:t>万元，占5</w:t>
      </w:r>
      <w:r>
        <w:rPr>
          <w:rFonts w:hint="eastAsia" w:asciiTheme="minorEastAsia" w:hAnsiTheme="minorEastAsia" w:eastAsiaTheme="minorEastAsia"/>
          <w:sz w:val="32"/>
          <w:szCs w:val="32"/>
          <w:lang w:val="en-US" w:eastAsia="zh-CN"/>
        </w:rPr>
        <w:t>9.15%</w:t>
      </w:r>
      <w:r>
        <w:rPr>
          <w:rFonts w:hint="eastAsia" w:asciiTheme="minorEastAsia" w:hAnsiTheme="minorEastAsia" w:eastAsiaTheme="minorEastAsia"/>
          <w:sz w:val="32"/>
          <w:szCs w:val="32"/>
        </w:rPr>
        <w:t>；灾害防治及应急管理支出</w:t>
      </w:r>
      <w:r>
        <w:rPr>
          <w:rFonts w:hint="eastAsia" w:asciiTheme="minorEastAsia" w:hAnsiTheme="minorEastAsia" w:eastAsiaTheme="minorEastAsia"/>
          <w:sz w:val="32"/>
          <w:szCs w:val="32"/>
          <w:lang w:val="en-US" w:eastAsia="zh-CN"/>
        </w:rPr>
        <w:t>1011.12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23.75</w:t>
      </w:r>
      <w:r>
        <w:rPr>
          <w:rFonts w:hint="eastAsia" w:asciiTheme="minorEastAsia" w:hAnsiTheme="minorEastAsia" w:eastAsiaTheme="minorEastAsia"/>
          <w:sz w:val="32"/>
          <w:szCs w:val="32"/>
        </w:rPr>
        <w:t>%。</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3292.70</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4257.64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129.31</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1、社会保障和就业支出（类）行政事业单位养老（款）</w:t>
      </w:r>
      <w:r>
        <w:rPr>
          <w:rFonts w:hint="eastAsia" w:asciiTheme="minorEastAsia" w:hAnsiTheme="minorEastAsia" w:eastAsiaTheme="minorEastAsia"/>
          <w:sz w:val="32"/>
          <w:szCs w:val="32"/>
          <w:lang w:eastAsia="zh-CN"/>
        </w:rPr>
        <w:t>事业单位离退休</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77.67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78.87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101.54</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指标追加</w:t>
      </w:r>
      <w:r>
        <w:rPr>
          <w:rFonts w:hint="eastAsia" w:asciiTheme="minorEastAsia" w:hAnsiTheme="minorEastAsia" w:eastAsiaTheme="minorEastAsia"/>
          <w:sz w:val="32"/>
          <w:szCs w:val="32"/>
          <w:lang w:val="en-US" w:eastAsia="zh-CN"/>
        </w:rPr>
        <w:t>1.2万元，其中生活补助0.6万元；医疗费补助0.6万元。</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2、社会保障和就业支出（类）行政事业单位养老（款）</w:t>
      </w:r>
      <w:r>
        <w:rPr>
          <w:rFonts w:hint="eastAsia" w:asciiTheme="minorEastAsia" w:hAnsiTheme="minorEastAsia" w:eastAsiaTheme="minorEastAsia"/>
          <w:sz w:val="32"/>
          <w:szCs w:val="32"/>
          <w:lang w:eastAsia="zh-CN"/>
        </w:rPr>
        <w:t>机关事业单位基本养老保险缴费支出</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410.05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410.05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%，决算数与预算数持平。</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、卫生健康（类）行政事业单位医疗（款）事业单位医疗（项）</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185.36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185.36</w:t>
      </w:r>
      <w:r>
        <w:rPr>
          <w:rFonts w:hint="eastAsia" w:asciiTheme="minorEastAsia" w:hAnsiTheme="minorEastAsia" w:eastAsiaTheme="minorEastAsia"/>
          <w:sz w:val="32"/>
          <w:szCs w:val="32"/>
        </w:rPr>
        <w:t>万元，完成年初预算的100%，决算数与预算数持平。</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、资源勘探工业信息</w:t>
      </w:r>
      <w:r>
        <w:rPr>
          <w:rFonts w:hint="eastAsia" w:asciiTheme="minorEastAsia" w:hAnsiTheme="minorEastAsia" w:eastAsiaTheme="minorEastAsia"/>
          <w:sz w:val="32"/>
          <w:szCs w:val="32"/>
          <w:lang w:eastAsia="zh-CN"/>
        </w:rPr>
        <w:t>等支出</w:t>
      </w:r>
      <w:r>
        <w:rPr>
          <w:rFonts w:hint="eastAsia" w:asciiTheme="minorEastAsia" w:hAnsiTheme="minorEastAsia" w:eastAsiaTheme="minorEastAsia"/>
          <w:sz w:val="32"/>
          <w:szCs w:val="32"/>
        </w:rPr>
        <w:t>（类）资源勘探开发（款）其他资源勘探业</w:t>
      </w:r>
      <w:r>
        <w:rPr>
          <w:rFonts w:hint="eastAsia" w:asciiTheme="minorEastAsia" w:hAnsiTheme="minorEastAsia" w:eastAsiaTheme="minorEastAsia"/>
          <w:sz w:val="32"/>
          <w:szCs w:val="32"/>
          <w:lang w:eastAsia="zh-CN"/>
        </w:rPr>
        <w:t>支出</w:t>
      </w:r>
      <w:r>
        <w:rPr>
          <w:rFonts w:hint="eastAsia" w:asciiTheme="minorEastAsia" w:hAnsiTheme="minorEastAsia" w:eastAsiaTheme="minorEastAsia"/>
          <w:sz w:val="32"/>
          <w:szCs w:val="32"/>
        </w:rPr>
        <w:t>（项）</w:t>
      </w:r>
    </w:p>
    <w:p>
      <w:pPr>
        <w:pStyle w:val="10"/>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53.87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由于预算数为0，无法计算百分比。决算数大于年初预算数的主要原因是：指标追加53.87万元，其中其他商品和服务支出49.6万元；其他对个人和家庭的补助4.27万元。</w:t>
      </w:r>
    </w:p>
    <w:p>
      <w:pPr>
        <w:pStyle w:val="10"/>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、自然资源海洋气象（类）自然资源事务（款）地质矿产资源与环境调查（项）</w:t>
      </w:r>
    </w:p>
    <w:p>
      <w:pPr>
        <w:pStyle w:val="10"/>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w:t>
      </w:r>
      <w:r>
        <w:rPr>
          <w:rFonts w:hint="eastAsia" w:asciiTheme="minorEastAsia" w:hAnsiTheme="minorEastAsia" w:eastAsiaTheme="minorEastAsia"/>
          <w:color w:val="auto"/>
          <w:sz w:val="32"/>
          <w:szCs w:val="32"/>
          <w:lang w:val="en-US" w:eastAsia="zh-CN"/>
        </w:rPr>
        <w:t>21.48</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119.68</w:t>
      </w:r>
      <w:r>
        <w:rPr>
          <w:rFonts w:hint="eastAsia" w:asciiTheme="minorEastAsia" w:hAnsiTheme="minorEastAsia" w:eastAsiaTheme="minorEastAsia"/>
          <w:color w:val="auto"/>
          <w:sz w:val="32"/>
          <w:szCs w:val="32"/>
        </w:rPr>
        <w:t>万</w:t>
      </w:r>
      <w:r>
        <w:rPr>
          <w:rFonts w:hint="eastAsia" w:asciiTheme="minorEastAsia" w:hAnsiTheme="minorEastAsia" w:eastAsiaTheme="minorEastAsia"/>
          <w:color w:val="auto"/>
          <w:sz w:val="32"/>
          <w:szCs w:val="32"/>
          <w:lang w:eastAsia="zh-CN"/>
        </w:rPr>
        <w:t>无，</w:t>
      </w:r>
      <w:r>
        <w:rPr>
          <w:rFonts w:hint="eastAsia" w:asciiTheme="minorEastAsia" w:hAnsiTheme="minorEastAsia" w:eastAsiaTheme="minorEastAsia"/>
          <w:color w:val="auto"/>
          <w:sz w:val="32"/>
          <w:szCs w:val="32"/>
        </w:rPr>
        <w:t>完成年初预算的</w:t>
      </w:r>
      <w:r>
        <w:rPr>
          <w:rFonts w:hint="eastAsia" w:asciiTheme="minorEastAsia" w:hAnsiTheme="minorEastAsia" w:eastAsiaTheme="minorEastAsia"/>
          <w:color w:val="auto"/>
          <w:sz w:val="32"/>
          <w:szCs w:val="32"/>
          <w:lang w:val="en-US" w:eastAsia="zh-CN"/>
        </w:rPr>
        <w:t>557.17</w:t>
      </w:r>
      <w:r>
        <w:rPr>
          <w:rFonts w:hint="eastAsia" w:asciiTheme="minorEastAsia" w:hAnsiTheme="minorEastAsia" w:eastAsiaTheme="minorEastAsia"/>
          <w:color w:val="auto"/>
          <w:sz w:val="32"/>
          <w:szCs w:val="32"/>
        </w:rPr>
        <w:t>%。决算数大于年初预算数的主要原因是：指标</w:t>
      </w:r>
      <w:r>
        <w:rPr>
          <w:rFonts w:hint="eastAsia" w:asciiTheme="minorEastAsia" w:hAnsiTheme="minorEastAsia" w:eastAsiaTheme="minorEastAsia"/>
          <w:color w:val="auto"/>
          <w:sz w:val="32"/>
          <w:szCs w:val="32"/>
          <w:lang w:eastAsia="zh-CN"/>
        </w:rPr>
        <w:t>追加</w:t>
      </w:r>
      <w:r>
        <w:rPr>
          <w:rFonts w:hint="eastAsia" w:asciiTheme="minorEastAsia" w:hAnsiTheme="minorEastAsia" w:eastAsiaTheme="minorEastAsia"/>
          <w:color w:val="auto"/>
          <w:sz w:val="32"/>
          <w:szCs w:val="32"/>
          <w:lang w:val="en-US" w:eastAsia="zh-CN"/>
        </w:rPr>
        <w:t>98.2万元</w:t>
      </w:r>
      <w:r>
        <w:rPr>
          <w:rFonts w:hint="eastAsia" w:asciiTheme="minorEastAsia" w:hAnsiTheme="minorEastAsia" w:eastAsiaTheme="minorEastAsia"/>
          <w:color w:val="auto"/>
          <w:sz w:val="32"/>
          <w:szCs w:val="32"/>
        </w:rPr>
        <w:t>。</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、自然资源海洋气象（类）自然资源事务（款）事业运行（项）</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2398.69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2398.69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决算数与预算数持平</w:t>
      </w:r>
      <w:r>
        <w:rPr>
          <w:rFonts w:hint="eastAsia" w:asciiTheme="minorEastAsia" w:hAnsiTheme="minorEastAsia" w:eastAsiaTheme="minorEastAsia"/>
          <w:sz w:val="32"/>
          <w:szCs w:val="32"/>
          <w:lang w:eastAsia="zh-CN"/>
        </w:rPr>
        <w:t>。</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、灾害防治及应急管理（类）自然灾害防治（款）地质灾害防治（项）</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199.45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1011.12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506.95</w:t>
      </w:r>
      <w:r>
        <w:rPr>
          <w:rFonts w:hint="eastAsia" w:asciiTheme="minorEastAsia" w:hAnsiTheme="minorEastAsia" w:eastAsiaTheme="minorEastAsia"/>
          <w:sz w:val="32"/>
          <w:szCs w:val="32"/>
        </w:rPr>
        <w:t>%。决算数大于年初预算数的主要原因是：指标</w:t>
      </w:r>
      <w:r>
        <w:rPr>
          <w:rFonts w:hint="eastAsia" w:asciiTheme="minorEastAsia" w:hAnsiTheme="minorEastAsia" w:eastAsiaTheme="minorEastAsia"/>
          <w:sz w:val="32"/>
          <w:szCs w:val="32"/>
          <w:lang w:eastAsia="zh-CN"/>
        </w:rPr>
        <w:t>追加</w:t>
      </w:r>
      <w:r>
        <w:rPr>
          <w:rFonts w:hint="eastAsia" w:asciiTheme="minorEastAsia" w:hAnsiTheme="minorEastAsia" w:eastAsiaTheme="minorEastAsia"/>
          <w:sz w:val="32"/>
          <w:szCs w:val="32"/>
          <w:lang w:val="en-US" w:eastAsia="zh-CN"/>
        </w:rPr>
        <w:t>811.67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pPr>
        <w:pStyle w:val="1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3072.97</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3072.97</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%,主要包括基本工资、津贴补贴、</w:t>
      </w:r>
      <w:r>
        <w:rPr>
          <w:rFonts w:hint="eastAsia" w:asciiTheme="minorEastAsia" w:hAnsiTheme="minorEastAsia" w:eastAsiaTheme="minorEastAsia"/>
          <w:sz w:val="32"/>
          <w:szCs w:val="32"/>
          <w:lang w:eastAsia="zh-CN"/>
        </w:rPr>
        <w:t>绩效工资、机关事业单位养老保险缴费、职工基本医疗保险缴费、其他社会保险缴费、离休费、退休费、抚恤金、生活补助、医疗费补助、奖励金、其他对个人和家庭的补助；</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其中：</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color w:val="auto"/>
          <w:sz w:val="32"/>
          <w:szCs w:val="32"/>
        </w:rPr>
        <w:t>与上年相比无增减</w:t>
      </w:r>
      <w:r>
        <w:rPr>
          <w:rFonts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rPr>
        <w:t>均无因公出国（境）费财政拨款支出。</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color w:val="auto"/>
          <w:sz w:val="32"/>
          <w:szCs w:val="32"/>
        </w:rPr>
        <w:t>与上年相比无增减</w:t>
      </w:r>
      <w:r>
        <w:rPr>
          <w:rFonts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rPr>
        <w:t>均无公务接待费财政拨款支出。</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color w:val="auto"/>
          <w:sz w:val="32"/>
          <w:szCs w:val="32"/>
        </w:rPr>
        <w:t>与上年相比无增减</w:t>
      </w:r>
      <w:r>
        <w:rPr>
          <w:rFonts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rPr>
        <w:t>均无公务用车购置费财政拨款支出。</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color w:val="auto"/>
          <w:sz w:val="32"/>
          <w:szCs w:val="32"/>
        </w:rPr>
        <w:t>与上年相比无增减</w:t>
      </w:r>
      <w:r>
        <w:rPr>
          <w:rFonts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rPr>
        <w:t>均无公务用车运行维护费财政拨款支出。</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0"/>
        <w:numPr>
          <w:ilvl w:val="0"/>
          <w:numId w:val="2"/>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0"/>
        <w:numPr>
          <w:ilvl w:val="0"/>
          <w:numId w:val="2"/>
        </w:numPr>
        <w:ind w:firstLine="640" w:firstLineChars="200"/>
        <w:rPr>
          <w:rFonts w:cs="黑体" w:asciiTheme="minorEastAsia" w:hAnsiTheme="minorEastAsia"/>
          <w:color w:val="000000"/>
          <w:kern w:val="0"/>
          <w:sz w:val="32"/>
          <w:szCs w:val="32"/>
        </w:rPr>
      </w:pPr>
      <w:r>
        <w:rPr>
          <w:rFonts w:hint="eastAsia" w:asciiTheme="minorEastAsia" w:hAnsiTheme="minorEastAsia" w:eastAsiaTheme="minorEastAsia"/>
          <w:sz w:val="32"/>
          <w:szCs w:val="32"/>
        </w:rPr>
        <w:t>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p>
    <w:p>
      <w:pPr>
        <w:pStyle w:val="10"/>
        <w:numPr>
          <w:ilvl w:val="0"/>
          <w:numId w:val="2"/>
        </w:numP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万元，其中：公务用车购置费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，本单位更新公务用车</w:t>
      </w:r>
      <w:r>
        <w:rPr>
          <w:rFonts w:hint="eastAsia" w:asciiTheme="minorEastAsia" w:hAnsiTheme="minorEastAsia" w:eastAsiaTheme="minorEastAsia"/>
          <w:sz w:val="32"/>
          <w:szCs w:val="32"/>
          <w:lang w:val="en-US" w:eastAsia="zh-CN"/>
        </w:rPr>
        <w:t>0辆</w:t>
      </w:r>
      <w:bookmarkStart w:id="2" w:name="_GoBack"/>
      <w:bookmarkEnd w:id="2"/>
      <w:r>
        <w:rPr>
          <w:rFonts w:hint="eastAsia" w:asciiTheme="minorEastAsia" w:hAnsiTheme="minorEastAsia" w:eastAsiaTheme="minorEastAsia"/>
          <w:sz w:val="32"/>
          <w:szCs w:val="32"/>
        </w:rPr>
        <w:t>。公务用车运行维护费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万元，截止2021年12月31日，我单位开支财政拨款的公务用车保有量为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w:t>
      </w:r>
    </w:p>
    <w:p>
      <w:pPr>
        <w:pStyle w:val="10"/>
        <w:rPr>
          <w:rFonts w:hAnsi="黑体"/>
          <w:b/>
          <w:sz w:val="32"/>
          <w:szCs w:val="32"/>
        </w:rPr>
      </w:pPr>
      <w:r>
        <w:rPr>
          <w:rFonts w:hint="eastAsia" w:hAnsi="黑体"/>
          <w:b/>
          <w:sz w:val="32"/>
          <w:szCs w:val="32"/>
        </w:rPr>
        <w:t>八、政府性基金预算收入支出决算情况</w:t>
      </w:r>
    </w:p>
    <w:p>
      <w:pPr>
        <w:pStyle w:val="10"/>
        <w:ind w:firstLine="640" w:firstLineChars="200"/>
        <w:rPr>
          <w:rFonts w:hint="eastAsia"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2021年度政府性基金预算财政拨款收入0万元；年初结转和结余0万元；支出0万元，其中基本支出0万元，项目支出0万元；年末结转和结余0万元。</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本单位无政府性基金预算收入支出</w:t>
      </w:r>
      <w:r>
        <w:rPr>
          <w:rFonts w:hint="eastAsia" w:asciiTheme="minorEastAsia" w:hAnsiTheme="minorEastAsia" w:eastAsiaTheme="minorEastAsia"/>
          <w:sz w:val="32"/>
          <w:szCs w:val="32"/>
          <w:lang w:eastAsia="zh-CN"/>
        </w:rPr>
        <w:t>。</w:t>
      </w:r>
    </w:p>
    <w:p>
      <w:pPr>
        <w:pStyle w:val="10"/>
        <w:rPr>
          <w:rFonts w:hAnsi="黑体"/>
          <w:b/>
          <w:sz w:val="32"/>
          <w:szCs w:val="32"/>
        </w:rPr>
      </w:pPr>
      <w:r>
        <w:rPr>
          <w:rFonts w:hint="eastAsia" w:hAnsi="黑体"/>
          <w:b/>
          <w:sz w:val="32"/>
          <w:szCs w:val="32"/>
        </w:rPr>
        <w:t>九、机关运行经费支出说明</w:t>
      </w:r>
    </w:p>
    <w:p>
      <w:pPr>
        <w:pStyle w:val="10"/>
        <w:ind w:firstLine="640" w:firstLineChars="200"/>
        <w:rPr>
          <w:rFonts w:hint="eastAsia"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本单位2021年度机关运行经费支出0万元，比年初预算数增加0万元，增长0%。</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本单位无机关运行经费支出。</w:t>
      </w:r>
    </w:p>
    <w:p>
      <w:pPr>
        <w:pStyle w:val="10"/>
        <w:rPr>
          <w:rFonts w:hAnsi="黑体"/>
          <w:b/>
          <w:sz w:val="32"/>
          <w:szCs w:val="32"/>
        </w:rPr>
      </w:pPr>
      <w:r>
        <w:rPr>
          <w:rFonts w:hint="eastAsia" w:hAnsi="黑体"/>
          <w:b/>
          <w:sz w:val="32"/>
          <w:szCs w:val="32"/>
        </w:rPr>
        <w:t>十、一般性支出情况说明</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color w:val="auto"/>
          <w:sz w:val="32"/>
          <w:szCs w:val="32"/>
          <w:highlight w:val="none"/>
        </w:rPr>
        <w:t>人数0人</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color w:val="auto"/>
          <w:sz w:val="32"/>
          <w:szCs w:val="32"/>
          <w:highlight w:val="none"/>
        </w:rPr>
        <w:t>人数0人</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未</w:t>
      </w:r>
      <w:r>
        <w:rPr>
          <w:rFonts w:hint="eastAsia" w:asciiTheme="minorEastAsia" w:hAnsiTheme="minorEastAsia" w:eastAsiaTheme="minorEastAsia"/>
          <w:sz w:val="32"/>
          <w:szCs w:val="32"/>
        </w:rPr>
        <w:t>举办节庆、晚会、论坛、赛事活动，开支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pPr>
        <w:pStyle w:val="10"/>
        <w:rPr>
          <w:rFonts w:hAnsi="黑体"/>
          <w:b/>
          <w:sz w:val="32"/>
          <w:szCs w:val="32"/>
        </w:rPr>
      </w:pPr>
      <w:r>
        <w:rPr>
          <w:rFonts w:hint="eastAsia" w:hAnsi="黑体"/>
          <w:b/>
          <w:sz w:val="32"/>
          <w:szCs w:val="32"/>
        </w:rPr>
        <w:t>十一、政府采购支出说明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十二、国有资产占用情况说明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eastAsia="zh-CN"/>
        </w:rPr>
        <w:t>本</w:t>
      </w:r>
      <w:r>
        <w:rPr>
          <w:rFonts w:hint="eastAsia" w:asciiTheme="minorEastAsia" w:hAnsiTheme="minorEastAsia" w:eastAsiaTheme="minorEastAsia"/>
          <w:sz w:val="32"/>
          <w:szCs w:val="32"/>
        </w:rPr>
        <w:t>单位公务用车；单位价值50万元以上通用设备</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rPr>
          <w:rFonts w:hAnsi="黑体"/>
          <w:b/>
          <w:color w:val="auto"/>
          <w:sz w:val="32"/>
          <w:szCs w:val="32"/>
        </w:rPr>
      </w:pPr>
      <w:r>
        <w:rPr>
          <w:rFonts w:hint="eastAsia" w:hAnsi="黑体"/>
          <w:b/>
          <w:color w:val="auto"/>
          <w:sz w:val="32"/>
          <w:szCs w:val="32"/>
        </w:rPr>
        <w:t>十三、2021年度预算绩效情况说明</w:t>
      </w:r>
    </w:p>
    <w:p>
      <w:pPr>
        <w:pStyle w:val="10"/>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已由上级单位汇总公开，本次随部门决算一同公开。</w:t>
      </w:r>
    </w:p>
    <w:p>
      <w:pPr>
        <w:pStyle w:val="10"/>
        <w:jc w:val="center"/>
        <w:rPr>
          <w:sz w:val="72"/>
          <w:szCs w:val="72"/>
        </w:rPr>
      </w:pPr>
    </w:p>
    <w:p>
      <w:pPr>
        <w:pStyle w:val="10"/>
        <w:jc w:val="center"/>
        <w:rPr>
          <w:sz w:val="72"/>
          <w:szCs w:val="72"/>
        </w:rPr>
      </w:pPr>
    </w:p>
    <w:p>
      <w:pPr>
        <w:pStyle w:val="10"/>
        <w:jc w:val="center"/>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一、基本支出：指为保障机构正常运转、完成日常工作任务而发生的各项支出，包括人员支出和公用支出。</w:t>
      </w: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二、项目支出：指在基本支出以外为完成相关行政任务和事业发展目标所发生的各项支出。</w:t>
      </w:r>
    </w:p>
    <w:p>
      <w:pPr>
        <w:widowControl/>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三、“三公”经费：指通过财政拨款资金安排的因公出国（境）费、公务用车购置及运行费和公务接待费支出。</w:t>
      </w:r>
      <w:r>
        <w:rPr>
          <w:rFonts w:hint="eastAsia" w:cs="黑体" w:asciiTheme="minorEastAsia" w:hAnsiTheme="minorEastAsia"/>
          <w:color w:val="000000"/>
          <w:kern w:val="0"/>
          <w:sz w:val="32"/>
          <w:szCs w:val="32"/>
        </w:rPr>
        <w:br w:type="textWrapping"/>
      </w:r>
      <w:r>
        <w:rPr>
          <w:rFonts w:hint="eastAsia" w:cs="黑体" w:asciiTheme="minorEastAsia" w:hAnsiTheme="minorEastAsia"/>
          <w:color w:val="000000"/>
          <w:kern w:val="0"/>
          <w:sz w:val="32"/>
          <w:szCs w:val="32"/>
        </w:rPr>
        <w:t xml:space="preserve">    四、机关运行经费：是指行政单位和参照公务员法管理事业单位一般公共预算财政拨款基本支出中公用经费之和，包括办公及印刷费、邮电费、差旅费、会议费、福利费、日常维修费、专用材料及一般设备购置费、办公用房水电费、办公用房取暖费、办公用房物业管理费、公务用车运行维护费以及其他费用等。</w:t>
      </w:r>
    </w:p>
    <w:p>
      <w:pPr>
        <w:widowControl/>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五、地质矿产资源与环境调查：反映用于中国地质调查局开展陆域海域公益性基础地质查调查、重要能源资源矿产调查；服务国民经济和生态文明建设，开展重要经济区和城市群综合地质调查、地质灾害隐患和水文地质环境调查；服务“一带一路”、军民融合等国家重大战略，开展相关地质调查工作；以及加强地质资源环境信息化建设，提高地质调查能力和科技水平等相关支出。</w:t>
      </w:r>
    </w:p>
    <w:p>
      <w:pPr>
        <w:widowControl/>
        <w:ind w:firstLine="640" w:firstLineChars="200"/>
        <w:jc w:val="left"/>
        <w:rPr>
          <w:rFonts w:eastAsia="黑体" w:cs="黑体" w:asciiTheme="minorEastAsia" w:hAnsiTheme="minorEastAsia"/>
          <w:color w:val="000000"/>
          <w:kern w:val="0"/>
          <w:sz w:val="28"/>
          <w:szCs w:val="32"/>
        </w:rPr>
      </w:pPr>
      <w:r>
        <w:rPr>
          <w:rFonts w:hint="eastAsia" w:cs="黑体" w:asciiTheme="minorEastAsia" w:hAnsiTheme="minorEastAsia"/>
          <w:color w:val="000000"/>
          <w:kern w:val="0"/>
          <w:sz w:val="32"/>
          <w:szCs w:val="32"/>
          <w:lang w:eastAsia="zh-CN"/>
        </w:rPr>
        <w:t>六、地质灾害防治：反映防治地质灾害方面的支出。</w:t>
      </w:r>
      <w:r>
        <w:rPr>
          <w:rFonts w:hint="eastAsia" w:cs="黑体" w:asciiTheme="minorEastAsia" w:hAnsiTheme="minorEastAsia"/>
          <w:color w:val="000000"/>
          <w:kern w:val="0"/>
          <w:sz w:val="32"/>
          <w:szCs w:val="32"/>
        </w:rPr>
        <w:br w:type="textWrapping"/>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hint="eastAsia" w:asciiTheme="minorEastAsia" w:hAnsiTheme="minorEastAsia" w:eastAsiaTheme="minorEastAsia" w:cstheme="minorEastAsia"/>
          <w:b/>
          <w:color w:val="000000"/>
          <w:kern w:val="0"/>
          <w:sz w:val="32"/>
          <w:szCs w:val="32"/>
        </w:rPr>
      </w:pPr>
      <w:r>
        <w:rPr>
          <w:rFonts w:hint="eastAsia" w:asciiTheme="minorEastAsia" w:hAnsiTheme="minorEastAsia" w:eastAsiaTheme="minorEastAsia" w:cstheme="minorEastAsia"/>
          <w:b/>
          <w:color w:val="000000"/>
          <w:kern w:val="0"/>
          <w:sz w:val="32"/>
          <w:szCs w:val="32"/>
        </w:rPr>
        <w:t>2021年度部门整体支出绩效评价报告</w:t>
      </w:r>
    </w:p>
    <w:p>
      <w:pPr>
        <w:ind w:firstLine="640" w:firstLineChars="200"/>
        <w:jc w:val="left"/>
        <w:rPr>
          <w:rFonts w:hint="eastAsia" w:asciiTheme="minorEastAsia" w:hAnsiTheme="minorEastAsia" w:eastAsiaTheme="minorEastAsia" w:cstheme="minorEastAsia"/>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560"/>
        <w:textAlignment w:val="auto"/>
        <w:rPr>
          <w:rFonts w:hint="eastAsia" w:asciiTheme="minorEastAsia" w:hAnsiTheme="minorEastAsia" w:eastAsiaTheme="minorEastAsia" w:cstheme="minorEastAsia"/>
          <w:b/>
          <w:caps w:val="0"/>
          <w:color w:val="333333"/>
          <w:spacing w:val="0"/>
          <w:kern w:val="0"/>
          <w:sz w:val="32"/>
          <w:szCs w:val="32"/>
          <w:shd w:val="clear" w:color="auto" w:fill="FFFFFF"/>
          <w:lang w:val="en-US" w:eastAsia="zh-CN" w:bidi="ar"/>
        </w:rPr>
      </w:pPr>
      <w:r>
        <w:rPr>
          <w:rFonts w:hint="eastAsia" w:asciiTheme="minorEastAsia" w:hAnsiTheme="minorEastAsia" w:eastAsiaTheme="minorEastAsia" w:cstheme="minorEastAsia"/>
          <w:spacing w:val="0"/>
          <w:sz w:val="32"/>
          <w:szCs w:val="32"/>
        </w:rPr>
        <w:t>为提升财政资金的预算绩效管理工作水平，增强单位财政资金支出责任，规范资金管理行为，提高财政资金使用效益，提高公共服务质量，优化公共资源配置，保障部门更好的履行职责，节约公共支出成本。</w:t>
      </w:r>
      <w:r>
        <w:rPr>
          <w:rFonts w:hint="eastAsia" w:asciiTheme="minorEastAsia" w:hAnsiTheme="minorEastAsia" w:eastAsiaTheme="minorEastAsia" w:cstheme="minorEastAsia"/>
          <w:spacing w:val="0"/>
          <w:sz w:val="32"/>
          <w:szCs w:val="32"/>
          <w:lang w:eastAsia="zh-CN"/>
        </w:rPr>
        <w:t>根据《</w:t>
      </w:r>
      <w:r>
        <w:rPr>
          <w:rFonts w:hint="eastAsia" w:asciiTheme="minorEastAsia" w:hAnsiTheme="minorEastAsia" w:eastAsiaTheme="minorEastAsia" w:cstheme="minorEastAsia"/>
          <w:spacing w:val="0"/>
          <w:sz w:val="32"/>
          <w:szCs w:val="32"/>
          <w:lang w:val="en-US" w:eastAsia="zh-CN"/>
        </w:rPr>
        <w:t>湖南省省级预算部门绩效自评操作规程</w:t>
      </w:r>
      <w:r>
        <w:rPr>
          <w:rFonts w:hint="eastAsia" w:asciiTheme="minorEastAsia" w:hAnsiTheme="minorEastAsia" w:eastAsiaTheme="minorEastAsia" w:cstheme="minorEastAsia"/>
          <w:spacing w:val="0"/>
          <w:sz w:val="32"/>
          <w:szCs w:val="32"/>
          <w:lang w:eastAsia="zh-CN"/>
        </w:rPr>
        <w:t>》（</w:t>
      </w:r>
      <w:r>
        <w:rPr>
          <w:rFonts w:hint="eastAsia" w:asciiTheme="minorEastAsia" w:hAnsiTheme="minorEastAsia" w:eastAsiaTheme="minorEastAsia" w:cstheme="minorEastAsia"/>
          <w:spacing w:val="0"/>
          <w:sz w:val="32"/>
          <w:szCs w:val="32"/>
          <w:lang w:val="en-US" w:eastAsia="zh-CN"/>
        </w:rPr>
        <w:t>湘</w:t>
      </w:r>
      <w:r>
        <w:rPr>
          <w:rFonts w:hint="eastAsia" w:asciiTheme="minorEastAsia" w:hAnsiTheme="minorEastAsia" w:eastAsiaTheme="minorEastAsia" w:cstheme="minorEastAsia"/>
          <w:spacing w:val="0"/>
          <w:sz w:val="32"/>
          <w:szCs w:val="32"/>
        </w:rPr>
        <w:t>财绩〔202</w:t>
      </w:r>
      <w:r>
        <w:rPr>
          <w:rFonts w:hint="eastAsia" w:asciiTheme="minorEastAsia" w:hAnsiTheme="minorEastAsia" w:eastAsiaTheme="minorEastAsia" w:cstheme="minorEastAsia"/>
          <w:spacing w:val="0"/>
          <w:sz w:val="32"/>
          <w:szCs w:val="32"/>
          <w:lang w:val="en-US" w:eastAsia="zh-CN"/>
        </w:rPr>
        <w:t>0</w:t>
      </w:r>
      <w:r>
        <w:rPr>
          <w:rFonts w:hint="eastAsia" w:asciiTheme="minorEastAsia" w:hAnsiTheme="minorEastAsia" w:eastAsiaTheme="minorEastAsia" w:cstheme="minorEastAsia"/>
          <w:spacing w:val="0"/>
          <w:sz w:val="32"/>
          <w:szCs w:val="32"/>
        </w:rPr>
        <w:t>〕</w:t>
      </w:r>
      <w:r>
        <w:rPr>
          <w:rFonts w:hint="eastAsia" w:asciiTheme="minorEastAsia" w:hAnsiTheme="minorEastAsia" w:eastAsiaTheme="minorEastAsia" w:cstheme="minorEastAsia"/>
          <w:spacing w:val="0"/>
          <w:sz w:val="32"/>
          <w:szCs w:val="32"/>
          <w:lang w:val="en-US" w:eastAsia="zh-CN"/>
        </w:rPr>
        <w:t>5号</w:t>
      </w:r>
      <w:r>
        <w:rPr>
          <w:rFonts w:hint="eastAsia" w:asciiTheme="minorEastAsia" w:hAnsiTheme="minorEastAsia" w:eastAsiaTheme="minorEastAsia" w:cstheme="minorEastAsia"/>
          <w:spacing w:val="0"/>
          <w:sz w:val="32"/>
          <w:szCs w:val="32"/>
          <w:lang w:eastAsia="zh-CN"/>
        </w:rPr>
        <w:t>）、</w:t>
      </w:r>
      <w:r>
        <w:rPr>
          <w:rFonts w:hint="eastAsia" w:asciiTheme="minorEastAsia" w:hAnsiTheme="minorEastAsia" w:eastAsiaTheme="minorEastAsia" w:cstheme="minorEastAsia"/>
          <w:spacing w:val="0"/>
          <w:sz w:val="32"/>
          <w:szCs w:val="32"/>
        </w:rPr>
        <w:t>《</w:t>
      </w:r>
      <w:r>
        <w:rPr>
          <w:rFonts w:hint="eastAsia" w:asciiTheme="minorEastAsia" w:hAnsiTheme="minorEastAsia" w:eastAsiaTheme="minorEastAsia" w:cstheme="minorEastAsia"/>
          <w:spacing w:val="0"/>
          <w:sz w:val="32"/>
          <w:szCs w:val="32"/>
          <w:lang w:val="en-US" w:eastAsia="zh-CN"/>
        </w:rPr>
        <w:t>湖南省财政厅关于开展2021年度部门整体支出绩效自评工作的通知</w:t>
      </w:r>
      <w:r>
        <w:rPr>
          <w:rFonts w:hint="eastAsia" w:asciiTheme="minorEastAsia" w:hAnsiTheme="minorEastAsia" w:eastAsiaTheme="minorEastAsia" w:cstheme="minorEastAsia"/>
          <w:spacing w:val="0"/>
          <w:sz w:val="32"/>
          <w:szCs w:val="32"/>
        </w:rPr>
        <w:t>》（</w:t>
      </w:r>
      <w:r>
        <w:rPr>
          <w:rFonts w:hint="eastAsia" w:asciiTheme="minorEastAsia" w:hAnsiTheme="minorEastAsia" w:eastAsiaTheme="minorEastAsia" w:cstheme="minorEastAsia"/>
          <w:spacing w:val="0"/>
          <w:sz w:val="32"/>
          <w:szCs w:val="32"/>
          <w:lang w:val="en-US" w:eastAsia="zh-CN"/>
        </w:rPr>
        <w:t>湘</w:t>
      </w:r>
      <w:r>
        <w:rPr>
          <w:rFonts w:hint="eastAsia" w:asciiTheme="minorEastAsia" w:hAnsiTheme="minorEastAsia" w:eastAsiaTheme="minorEastAsia" w:cstheme="minorEastAsia"/>
          <w:spacing w:val="0"/>
          <w:sz w:val="32"/>
          <w:szCs w:val="32"/>
        </w:rPr>
        <w:t>财绩〔202</w:t>
      </w:r>
      <w:r>
        <w:rPr>
          <w:rFonts w:hint="eastAsia" w:asciiTheme="minorEastAsia" w:hAnsiTheme="minorEastAsia" w:eastAsiaTheme="minorEastAsia" w:cstheme="minorEastAsia"/>
          <w:spacing w:val="0"/>
          <w:sz w:val="32"/>
          <w:szCs w:val="32"/>
          <w:lang w:val="en-US" w:eastAsia="zh-CN"/>
        </w:rPr>
        <w:t>2</w:t>
      </w:r>
      <w:r>
        <w:rPr>
          <w:rFonts w:hint="eastAsia" w:asciiTheme="minorEastAsia" w:hAnsiTheme="minorEastAsia" w:eastAsiaTheme="minorEastAsia" w:cstheme="minorEastAsia"/>
          <w:spacing w:val="0"/>
          <w:sz w:val="32"/>
          <w:szCs w:val="32"/>
        </w:rPr>
        <w:t>〕</w:t>
      </w:r>
      <w:r>
        <w:rPr>
          <w:rFonts w:hint="eastAsia" w:asciiTheme="minorEastAsia" w:hAnsiTheme="minorEastAsia" w:eastAsiaTheme="minorEastAsia" w:cstheme="minorEastAsia"/>
          <w:spacing w:val="0"/>
          <w:sz w:val="32"/>
          <w:szCs w:val="32"/>
          <w:lang w:val="en-US" w:eastAsia="zh-CN"/>
        </w:rPr>
        <w:t>1号）</w:t>
      </w:r>
      <w:r>
        <w:rPr>
          <w:rFonts w:hint="eastAsia" w:asciiTheme="minorEastAsia" w:hAnsiTheme="minorEastAsia" w:eastAsiaTheme="minorEastAsia" w:cstheme="minorEastAsia"/>
          <w:spacing w:val="0"/>
          <w:sz w:val="32"/>
          <w:szCs w:val="32"/>
          <w:lang w:eastAsia="zh-CN"/>
        </w:rPr>
        <w:t>、</w:t>
      </w:r>
      <w:r>
        <w:rPr>
          <w:rFonts w:hint="eastAsia" w:asciiTheme="minorEastAsia" w:hAnsiTheme="minorEastAsia" w:eastAsiaTheme="minorEastAsia" w:cstheme="minorEastAsia"/>
          <w:spacing w:val="0"/>
          <w:sz w:val="32"/>
          <w:szCs w:val="32"/>
        </w:rPr>
        <w:t>《</w:t>
      </w:r>
      <w:r>
        <w:rPr>
          <w:rFonts w:hint="eastAsia" w:asciiTheme="minorEastAsia" w:hAnsiTheme="minorEastAsia" w:eastAsiaTheme="minorEastAsia" w:cstheme="minorEastAsia"/>
          <w:spacing w:val="0"/>
          <w:sz w:val="32"/>
          <w:szCs w:val="32"/>
          <w:lang w:val="en-US" w:eastAsia="zh-CN"/>
        </w:rPr>
        <w:t>湖南省地质院关于开展2021年度部门整体支出绩效自评工作的通知</w:t>
      </w:r>
      <w:r>
        <w:rPr>
          <w:rFonts w:hint="eastAsia" w:asciiTheme="minorEastAsia" w:hAnsiTheme="minorEastAsia" w:eastAsiaTheme="minorEastAsia" w:cstheme="minorEastAsia"/>
          <w:spacing w:val="0"/>
          <w:sz w:val="32"/>
          <w:szCs w:val="32"/>
        </w:rPr>
        <w:t>》等文件的要求，我单位于20</w:t>
      </w:r>
      <w:r>
        <w:rPr>
          <w:rFonts w:hint="eastAsia" w:asciiTheme="minorEastAsia" w:hAnsiTheme="minorEastAsia" w:eastAsiaTheme="minorEastAsia" w:cstheme="minorEastAsia"/>
          <w:spacing w:val="0"/>
          <w:sz w:val="32"/>
          <w:szCs w:val="32"/>
          <w:lang w:val="en-US" w:eastAsia="zh-CN"/>
        </w:rPr>
        <w:t>22</w:t>
      </w:r>
      <w:r>
        <w:rPr>
          <w:rFonts w:hint="eastAsia" w:asciiTheme="minorEastAsia" w:hAnsiTheme="minorEastAsia" w:eastAsiaTheme="minorEastAsia" w:cstheme="minorEastAsia"/>
          <w:spacing w:val="0"/>
          <w:sz w:val="32"/>
          <w:szCs w:val="32"/>
        </w:rPr>
        <w:t>年</w:t>
      </w:r>
      <w:r>
        <w:rPr>
          <w:rFonts w:hint="eastAsia" w:asciiTheme="minorEastAsia" w:hAnsiTheme="minorEastAsia" w:eastAsiaTheme="minorEastAsia" w:cstheme="minorEastAsia"/>
          <w:spacing w:val="0"/>
          <w:sz w:val="32"/>
          <w:szCs w:val="32"/>
          <w:lang w:val="en-US" w:eastAsia="zh-CN"/>
        </w:rPr>
        <w:t>4</w:t>
      </w:r>
      <w:r>
        <w:rPr>
          <w:rFonts w:hint="eastAsia" w:asciiTheme="minorEastAsia" w:hAnsiTheme="minorEastAsia" w:eastAsiaTheme="minorEastAsia" w:cstheme="minorEastAsia"/>
          <w:spacing w:val="0"/>
          <w:sz w:val="32"/>
          <w:szCs w:val="32"/>
        </w:rPr>
        <w:t>月，组织力量对本单位20</w:t>
      </w:r>
      <w:r>
        <w:rPr>
          <w:rFonts w:hint="eastAsia" w:asciiTheme="minorEastAsia" w:hAnsiTheme="minorEastAsia" w:eastAsiaTheme="minorEastAsia" w:cstheme="minorEastAsia"/>
          <w:spacing w:val="0"/>
          <w:sz w:val="32"/>
          <w:szCs w:val="32"/>
          <w:lang w:val="en-US" w:eastAsia="zh-CN"/>
        </w:rPr>
        <w:t>21</w:t>
      </w:r>
      <w:r>
        <w:rPr>
          <w:rFonts w:hint="eastAsia" w:asciiTheme="minorEastAsia" w:hAnsiTheme="minorEastAsia" w:eastAsiaTheme="minorEastAsia" w:cstheme="minorEastAsia"/>
          <w:spacing w:val="0"/>
          <w:sz w:val="32"/>
          <w:szCs w:val="32"/>
        </w:rPr>
        <w:t>年度部门预算整体支出进行了客观、公正的评价，本次评价运用科学、合理的绩效评价指标、评价标准和评价方法，遵循“科学规范、公正公开、分类管理、绩效相关”的原则。现将情况汇报如下：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560"/>
        <w:jc w:val="both"/>
        <w:textAlignment w:val="auto"/>
        <w:rPr>
          <w:rFonts w:hint="eastAsia" w:asciiTheme="minorEastAsia" w:hAnsiTheme="minorEastAsia" w:eastAsiaTheme="minorEastAsia" w:cstheme="minorEastAsia"/>
          <w:spacing w:val="0"/>
          <w:sz w:val="32"/>
          <w:szCs w:val="32"/>
        </w:rPr>
      </w:pPr>
      <w:r>
        <w:rPr>
          <w:rFonts w:hint="eastAsia" w:asciiTheme="minorEastAsia" w:hAnsiTheme="minorEastAsia" w:eastAsiaTheme="minorEastAsia" w:cstheme="minorEastAsia"/>
          <w:b/>
          <w:caps w:val="0"/>
          <w:color w:val="333333"/>
          <w:spacing w:val="0"/>
          <w:kern w:val="0"/>
          <w:sz w:val="32"/>
          <w:szCs w:val="32"/>
          <w:shd w:val="clear" w:color="auto" w:fill="FFFFFF"/>
          <w:lang w:val="en-US" w:eastAsia="zh-CN" w:bidi="ar"/>
        </w:rPr>
        <w:t>一、部门单位基本情况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562"/>
        <w:jc w:val="both"/>
        <w:textAlignment w:val="auto"/>
        <w:rPr>
          <w:rFonts w:hint="eastAsia" w:asciiTheme="minorEastAsia" w:hAnsiTheme="minorEastAsia" w:eastAsiaTheme="minorEastAsia" w:cstheme="minorEastAsia"/>
          <w:spacing w:val="0"/>
          <w:sz w:val="32"/>
          <w:szCs w:val="32"/>
        </w:rPr>
      </w:pPr>
      <w:r>
        <w:rPr>
          <w:rFonts w:hint="eastAsia" w:asciiTheme="minorEastAsia" w:hAnsiTheme="minorEastAsia" w:eastAsiaTheme="minorEastAsia" w:cstheme="minorEastAsia"/>
          <w:b/>
          <w:caps w:val="0"/>
          <w:color w:val="333333"/>
          <w:spacing w:val="0"/>
          <w:kern w:val="0"/>
          <w:sz w:val="32"/>
          <w:szCs w:val="32"/>
          <w:shd w:val="clear" w:color="auto" w:fill="FFFFFF"/>
          <w:lang w:val="en-US" w:eastAsia="zh-CN" w:bidi="ar"/>
        </w:rPr>
        <w:t>（一）单位简介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562"/>
        <w:jc w:val="both"/>
        <w:textAlignment w:val="auto"/>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pPr>
      <w:r>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t>湖南省地质矿产勘查开发局四○五队隶属于湖</w:t>
      </w:r>
      <w:r>
        <w:rPr>
          <w:rFonts w:hint="eastAsia" w:asciiTheme="minorEastAsia" w:hAnsiTheme="minorEastAsia" w:eastAsiaTheme="minorEastAsia" w:cstheme="minorEastAsia"/>
          <w:caps w:val="0"/>
          <w:color w:val="auto"/>
          <w:spacing w:val="0"/>
          <w:kern w:val="0"/>
          <w:sz w:val="32"/>
          <w:szCs w:val="32"/>
          <w:shd w:val="clear" w:color="auto" w:fill="FFFFFF"/>
          <w:lang w:val="en-US" w:eastAsia="zh-CN" w:bidi="ar"/>
        </w:rPr>
        <w:t>南省地质院，为省财政二级预算事业单位。主要队</w:t>
      </w: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属企业有：湖南地建集团湘西工程有限责任公司、湖南省湘西工程勘察设计有限责任公司、湖南和兴源矿业开发投资有限责任公司3个独立法人企业。下设：队地调院、队工勘院（公司、勘察院）、张家界技术服务中心（分院、分公司）三个集权式管理单位，机修厂为经费补贴单位。三个集权式管理单位实行独立核算定额上交（利润）+利润分成（总量控制）的经营模式，队本部和队地调院从2019年开始执行新的《政府会计制度》，队工勘院、张家界服务中心（分院、分公司）执行《小企业会计制度》；湖南和兴源矿业开发投资有限责任公司正在办理注销中；机修车间作为队产业辅助类补贴经营单位，未建立完整的核算体系，经上报省地质院，不作为产业计算。另经地方政府批准的队属非注册非盈利事业性质机构五个：湘西州地质灾害防治技术指导中心、张家界市地质灾害防治技术地质灾害防治救治指导中心、湘西州矿山监测技术服务中心、湘西州地质灾害监测预警中心、湘西州地震和地质灾害应急救援服务中心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firstLine="562"/>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caps w:val="0"/>
          <w:color w:val="333333"/>
          <w:spacing w:val="0"/>
          <w:kern w:val="0"/>
          <w:sz w:val="32"/>
          <w:szCs w:val="32"/>
          <w:shd w:val="clear" w:color="auto" w:fill="FFFFFF"/>
          <w:lang w:val="en-US" w:eastAsia="zh-CN" w:bidi="ar"/>
        </w:rPr>
        <w:t>（二）主要职责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firstLine="562"/>
        <w:jc w:val="both"/>
        <w:textAlignment w:val="auto"/>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pP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我队主要从事地质调查服务，水文地质，区域工程地质调查、环境工程地质调查、地矿资源检测、专业地质技术研究开发、地质灾害防治工程设计与监理、建筑基桩工程施工、物化探钻探、测绘、岩矿鉴定、土壤分析、水样测试、工程地质勘察、工业民用建筑施工，矿业项目投资与管理、矿产资源勘查技术服务、政策允许的矿产品销售等业务。现有甲级资质：岩土工程勘察、设计；地质灾害危险性评估；地质灾害治理工程勘查、设计、施工。乙级资质：冶金矿山工程设计、地质灾害防治工程监理、水文地质勘察、劳务类工程钻探、岩土试验、测绘、岩土工程物探、测试、检测监测等。还持有地基与基础工程施工二级资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firstLine="562"/>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caps w:val="0"/>
          <w:color w:val="333333"/>
          <w:spacing w:val="0"/>
          <w:kern w:val="0"/>
          <w:sz w:val="32"/>
          <w:szCs w:val="32"/>
          <w:shd w:val="clear" w:color="auto" w:fill="FFFFFF"/>
          <w:lang w:val="en-US" w:eastAsia="zh-CN" w:bidi="ar"/>
        </w:rPr>
        <w:t>（三）机构设置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firstLine="562"/>
        <w:jc w:val="both"/>
        <w:textAlignment w:val="auto"/>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pP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队管理部门设有办公室、党群部、财务资产科、人事教育科、经营审计科、深改办、监察室、科技质量办、安全科、物业管理部、工会、团委12个职能科室行使日常管理工作。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firstLine="562"/>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caps w:val="0"/>
          <w:color w:val="333333"/>
          <w:spacing w:val="0"/>
          <w:kern w:val="0"/>
          <w:sz w:val="32"/>
          <w:szCs w:val="32"/>
          <w:shd w:val="clear" w:color="auto" w:fill="FFFFFF"/>
          <w:lang w:val="en-US" w:eastAsia="zh-CN" w:bidi="ar"/>
        </w:rPr>
        <w:t>（四）人员情况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firstLine="56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截止2021年12月31日，省编办核定</w:t>
      </w:r>
      <w:r>
        <w:rPr>
          <w:rFonts w:hint="eastAsia" w:asciiTheme="minorEastAsia" w:hAnsiTheme="minorEastAsia" w:eastAsiaTheme="minorEastAsia" w:cstheme="minorEastAsia"/>
          <w:caps w:val="0"/>
          <w:color w:val="auto"/>
          <w:spacing w:val="0"/>
          <w:kern w:val="0"/>
          <w:sz w:val="32"/>
          <w:szCs w:val="32"/>
          <w:shd w:val="clear" w:color="auto" w:fill="FFFFFF"/>
          <w:lang w:val="en-US" w:eastAsia="zh-CN" w:bidi="ar"/>
        </w:rPr>
        <w:t>我队</w:t>
      </w: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总</w:t>
      </w:r>
      <w:r>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t>编制人数353人，</w:t>
      </w: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全</w:t>
      </w:r>
      <w:r>
        <w:rPr>
          <w:rFonts w:hint="eastAsia" w:asciiTheme="minorEastAsia" w:hAnsiTheme="minorEastAsia" w:eastAsiaTheme="minorEastAsia" w:cstheme="minorEastAsia"/>
          <w:caps w:val="0"/>
          <w:color w:val="auto"/>
          <w:spacing w:val="0"/>
          <w:kern w:val="0"/>
          <w:sz w:val="32"/>
          <w:szCs w:val="32"/>
          <w:shd w:val="clear" w:color="auto" w:fill="FFFFFF"/>
          <w:lang w:val="en-US" w:eastAsia="zh-CN" w:bidi="ar"/>
        </w:rPr>
        <w:t>队</w:t>
      </w: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实有人员654人，其中：在职人员258人，离休人员1人，退休人员394人，退职人员1人。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firstLine="562"/>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caps w:val="0"/>
          <w:color w:val="333333"/>
          <w:spacing w:val="0"/>
          <w:kern w:val="0"/>
          <w:sz w:val="32"/>
          <w:szCs w:val="32"/>
          <w:shd w:val="clear" w:color="auto" w:fill="FFFFFF"/>
          <w:lang w:val="en-US" w:eastAsia="zh-CN" w:bidi="ar"/>
        </w:rPr>
        <w:t>二、一般公共预算支出情况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firstLine="562"/>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caps w:val="0"/>
          <w:color w:val="333333"/>
          <w:spacing w:val="0"/>
          <w:kern w:val="0"/>
          <w:sz w:val="32"/>
          <w:szCs w:val="32"/>
          <w:shd w:val="clear" w:color="auto" w:fill="FFFFFF"/>
          <w:lang w:val="en-US" w:eastAsia="zh-CN" w:bidi="ar"/>
        </w:rPr>
        <w:t>（一）基本支出情况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firstLine="56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2021年湖南省地质矿产勘查开发局四○五队一般公共预算基本支出3,072.97万元。均为人员经费支出，占比达100%，其中工资福利支出2,648.37万元，对个人和家庭补助424.60万元。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firstLine="562"/>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caps w:val="0"/>
          <w:color w:val="333333"/>
          <w:spacing w:val="0"/>
          <w:kern w:val="0"/>
          <w:sz w:val="32"/>
          <w:szCs w:val="32"/>
          <w:shd w:val="clear" w:color="auto" w:fill="FFFFFF"/>
          <w:lang w:val="en-US" w:eastAsia="zh-CN" w:bidi="ar"/>
        </w:rPr>
        <w:t>（二）项目支出情况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firstLine="560"/>
        <w:jc w:val="both"/>
        <w:textAlignment w:val="auto"/>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pP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1、项目资金到位及使用情况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firstLine="560"/>
        <w:jc w:val="both"/>
        <w:textAlignment w:val="auto"/>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pP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2021年本单位年初结转和结余项目资金</w:t>
      </w:r>
      <w:r>
        <w:rPr>
          <w:rFonts w:hint="eastAsia" w:asciiTheme="minorEastAsia" w:hAnsiTheme="minorEastAsia" w:eastAsiaTheme="minorEastAsia" w:cstheme="minorEastAsia"/>
          <w:caps w:val="0"/>
          <w:color w:val="auto"/>
          <w:spacing w:val="0"/>
          <w:kern w:val="0"/>
          <w:sz w:val="32"/>
          <w:szCs w:val="32"/>
          <w:shd w:val="clear" w:color="auto" w:fill="FFFFFF"/>
          <w:lang w:val="en-US" w:eastAsia="zh-CN" w:bidi="ar"/>
        </w:rPr>
        <w:t>220.93万</w:t>
      </w: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元，本年到位项目资金1,292.22万元，本年支出项目资金1,184.67万元（其中：商品服务支出1,180.40万元、对个人和家庭补助支出4.27万元），年末结转和结余项目资金328.48万元。具体情况如下：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firstLine="560"/>
        <w:jc w:val="both"/>
        <w:textAlignment w:val="auto"/>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pP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 xml:space="preserve">                                              单位：万元</w:t>
      </w:r>
    </w:p>
    <w:tbl>
      <w:tblPr>
        <w:tblStyle w:val="5"/>
        <w:tblW w:w="9237" w:type="dxa"/>
        <w:jc w:val="center"/>
        <w:tblLayout w:type="autofit"/>
        <w:tblCellMar>
          <w:top w:w="0" w:type="dxa"/>
          <w:left w:w="0" w:type="dxa"/>
          <w:bottom w:w="0" w:type="dxa"/>
          <w:right w:w="0" w:type="dxa"/>
        </w:tblCellMar>
      </w:tblPr>
      <w:tblGrid>
        <w:gridCol w:w="1217"/>
        <w:gridCol w:w="1600"/>
        <w:gridCol w:w="1480"/>
        <w:gridCol w:w="1370"/>
        <w:gridCol w:w="1190"/>
        <w:gridCol w:w="1190"/>
        <w:gridCol w:w="1190"/>
      </w:tblGrid>
      <w:tr>
        <w:tblPrEx>
          <w:tblCellMar>
            <w:top w:w="0" w:type="dxa"/>
            <w:left w:w="0" w:type="dxa"/>
            <w:bottom w:w="0" w:type="dxa"/>
            <w:right w:w="0" w:type="dxa"/>
          </w:tblCellMar>
        </w:tblPrEx>
        <w:trPr>
          <w:trHeight w:val="620" w:hRule="atLeast"/>
          <w:jc w:val="center"/>
        </w:trPr>
        <w:tc>
          <w:tcPr>
            <w:tcW w:w="12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序号</w:t>
            </w:r>
          </w:p>
        </w:tc>
        <w:tc>
          <w:tcPr>
            <w:tcW w:w="1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指标文号</w:t>
            </w:r>
          </w:p>
        </w:tc>
        <w:tc>
          <w:tcPr>
            <w:tcW w:w="1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项  目</w:t>
            </w:r>
          </w:p>
        </w:tc>
        <w:tc>
          <w:tcPr>
            <w:tcW w:w="13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年初结转和结余金额</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本年资金到位金额</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本年资金支出金额</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年末结转结余金额</w:t>
            </w:r>
          </w:p>
        </w:tc>
      </w:tr>
      <w:tr>
        <w:tblPrEx>
          <w:tblCellMar>
            <w:top w:w="0" w:type="dxa"/>
            <w:left w:w="0" w:type="dxa"/>
            <w:bottom w:w="0" w:type="dxa"/>
            <w:right w:w="0" w:type="dxa"/>
          </w:tblCellMar>
        </w:tblPrEx>
        <w:trPr>
          <w:trHeight w:val="620" w:hRule="atLeast"/>
          <w:jc w:val="center"/>
        </w:trPr>
        <w:tc>
          <w:tcPr>
            <w:tcW w:w="12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湘财资环指（2021）0042号</w:t>
            </w:r>
          </w:p>
        </w:tc>
        <w:tc>
          <w:tcPr>
            <w:tcW w:w="1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“我为群众办实事”专项</w:t>
            </w:r>
          </w:p>
        </w:tc>
        <w:tc>
          <w:tcPr>
            <w:tcW w:w="13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right"/>
              <w:rPr>
                <w:rFonts w:hint="eastAsia" w:asciiTheme="minorEastAsia" w:hAnsiTheme="minorEastAsia" w:eastAsiaTheme="minorEastAsia" w:cstheme="minorEastAsia"/>
                <w:i w:val="0"/>
                <w:color w:val="000000"/>
                <w:sz w:val="32"/>
                <w:szCs w:val="32"/>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45.00 </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45.00 </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0.00 </w:t>
            </w:r>
          </w:p>
        </w:tc>
      </w:tr>
      <w:tr>
        <w:tblPrEx>
          <w:tblCellMar>
            <w:top w:w="0" w:type="dxa"/>
            <w:left w:w="0" w:type="dxa"/>
            <w:bottom w:w="0" w:type="dxa"/>
            <w:right w:w="0" w:type="dxa"/>
          </w:tblCellMar>
        </w:tblPrEx>
        <w:trPr>
          <w:trHeight w:val="620" w:hRule="atLeast"/>
          <w:jc w:val="center"/>
        </w:trPr>
        <w:tc>
          <w:tcPr>
            <w:tcW w:w="12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湘财资环指（2021）0042号</w:t>
            </w:r>
          </w:p>
        </w:tc>
        <w:tc>
          <w:tcPr>
            <w:tcW w:w="1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“资产清查”专项</w:t>
            </w:r>
          </w:p>
        </w:tc>
        <w:tc>
          <w:tcPr>
            <w:tcW w:w="13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right"/>
              <w:rPr>
                <w:rFonts w:hint="eastAsia" w:asciiTheme="minorEastAsia" w:hAnsiTheme="minorEastAsia" w:eastAsiaTheme="minorEastAsia" w:cstheme="minorEastAsia"/>
                <w:i w:val="0"/>
                <w:color w:val="000000"/>
                <w:sz w:val="32"/>
                <w:szCs w:val="32"/>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4.60 </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4.60 </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0.00 </w:t>
            </w:r>
          </w:p>
        </w:tc>
      </w:tr>
      <w:tr>
        <w:tblPrEx>
          <w:tblCellMar>
            <w:top w:w="0" w:type="dxa"/>
            <w:left w:w="0" w:type="dxa"/>
            <w:bottom w:w="0" w:type="dxa"/>
            <w:right w:w="0" w:type="dxa"/>
          </w:tblCellMar>
        </w:tblPrEx>
        <w:trPr>
          <w:trHeight w:val="620" w:hRule="atLeast"/>
          <w:jc w:val="center"/>
        </w:trPr>
        <w:tc>
          <w:tcPr>
            <w:tcW w:w="12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3</w:t>
            </w:r>
          </w:p>
        </w:tc>
        <w:tc>
          <w:tcPr>
            <w:tcW w:w="1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湘财资环指（2021）0042号</w:t>
            </w:r>
          </w:p>
        </w:tc>
        <w:tc>
          <w:tcPr>
            <w:tcW w:w="1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职业病遗属补助专项</w:t>
            </w:r>
          </w:p>
        </w:tc>
        <w:tc>
          <w:tcPr>
            <w:tcW w:w="13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right"/>
              <w:rPr>
                <w:rFonts w:hint="eastAsia" w:asciiTheme="minorEastAsia" w:hAnsiTheme="minorEastAsia" w:eastAsiaTheme="minorEastAsia" w:cstheme="minorEastAsia"/>
                <w:i w:val="0"/>
                <w:color w:val="000000"/>
                <w:sz w:val="32"/>
                <w:szCs w:val="32"/>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4.27 </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4.27 </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0.00 </w:t>
            </w:r>
          </w:p>
        </w:tc>
      </w:tr>
      <w:tr>
        <w:tblPrEx>
          <w:tblCellMar>
            <w:top w:w="0" w:type="dxa"/>
            <w:left w:w="0" w:type="dxa"/>
            <w:bottom w:w="0" w:type="dxa"/>
            <w:right w:w="0" w:type="dxa"/>
          </w:tblCellMar>
        </w:tblPrEx>
        <w:trPr>
          <w:trHeight w:val="620" w:hRule="atLeast"/>
          <w:jc w:val="center"/>
        </w:trPr>
        <w:tc>
          <w:tcPr>
            <w:tcW w:w="12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4</w:t>
            </w:r>
          </w:p>
        </w:tc>
        <w:tc>
          <w:tcPr>
            <w:tcW w:w="1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湘财资环指（2021）0053号</w:t>
            </w:r>
          </w:p>
        </w:tc>
        <w:tc>
          <w:tcPr>
            <w:tcW w:w="1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监测预警能力建设补助</w:t>
            </w:r>
          </w:p>
        </w:tc>
        <w:tc>
          <w:tcPr>
            <w:tcW w:w="13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right"/>
              <w:rPr>
                <w:rFonts w:hint="eastAsia" w:asciiTheme="minorEastAsia" w:hAnsiTheme="minorEastAsia" w:eastAsiaTheme="minorEastAsia" w:cstheme="minorEastAsia"/>
                <w:i w:val="0"/>
                <w:color w:val="000000"/>
                <w:sz w:val="32"/>
                <w:szCs w:val="32"/>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40.00 </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right"/>
              <w:rPr>
                <w:rFonts w:hint="eastAsia" w:asciiTheme="minorEastAsia" w:hAnsiTheme="minorEastAsia" w:eastAsiaTheme="minorEastAsia" w:cstheme="minorEastAsia"/>
                <w:i w:val="0"/>
                <w:color w:val="000000"/>
                <w:sz w:val="32"/>
                <w:szCs w:val="32"/>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40.00 </w:t>
            </w:r>
          </w:p>
        </w:tc>
      </w:tr>
      <w:tr>
        <w:tblPrEx>
          <w:tblCellMar>
            <w:top w:w="0" w:type="dxa"/>
            <w:left w:w="0" w:type="dxa"/>
            <w:bottom w:w="0" w:type="dxa"/>
            <w:right w:w="0" w:type="dxa"/>
          </w:tblCellMar>
        </w:tblPrEx>
        <w:trPr>
          <w:trHeight w:val="620" w:hRule="atLeast"/>
          <w:jc w:val="center"/>
        </w:trPr>
        <w:tc>
          <w:tcPr>
            <w:tcW w:w="12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湘财资环指（2021）0010号</w:t>
            </w:r>
          </w:p>
        </w:tc>
        <w:tc>
          <w:tcPr>
            <w:tcW w:w="1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湖南省矿产资源国情调查</w:t>
            </w:r>
          </w:p>
        </w:tc>
        <w:tc>
          <w:tcPr>
            <w:tcW w:w="13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21.48 </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98.20 </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119.68 </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0.00 </w:t>
            </w:r>
          </w:p>
        </w:tc>
      </w:tr>
      <w:tr>
        <w:tblPrEx>
          <w:tblCellMar>
            <w:top w:w="0" w:type="dxa"/>
            <w:left w:w="0" w:type="dxa"/>
            <w:bottom w:w="0" w:type="dxa"/>
            <w:right w:w="0" w:type="dxa"/>
          </w:tblCellMar>
        </w:tblPrEx>
        <w:trPr>
          <w:trHeight w:val="1240" w:hRule="atLeast"/>
          <w:jc w:val="center"/>
        </w:trPr>
        <w:tc>
          <w:tcPr>
            <w:tcW w:w="12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6</w:t>
            </w:r>
          </w:p>
        </w:tc>
        <w:tc>
          <w:tcPr>
            <w:tcW w:w="1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湘财资环指（2020）55号、湘财资环指（2020）15号</w:t>
            </w:r>
          </w:p>
        </w:tc>
        <w:tc>
          <w:tcPr>
            <w:tcW w:w="1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花垣县1：1万地质灾害调查与风险评价</w:t>
            </w:r>
          </w:p>
        </w:tc>
        <w:tc>
          <w:tcPr>
            <w:tcW w:w="13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right"/>
              <w:rPr>
                <w:rFonts w:hint="eastAsia" w:asciiTheme="minorEastAsia" w:hAnsiTheme="minorEastAsia" w:eastAsiaTheme="minorEastAsia" w:cstheme="minorEastAsia"/>
                <w:i w:val="0"/>
                <w:color w:val="000000"/>
                <w:sz w:val="32"/>
                <w:szCs w:val="32"/>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180.50 </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151.73 </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28.78  </w:t>
            </w:r>
          </w:p>
        </w:tc>
      </w:tr>
      <w:tr>
        <w:tblPrEx>
          <w:tblCellMar>
            <w:top w:w="0" w:type="dxa"/>
            <w:left w:w="0" w:type="dxa"/>
            <w:bottom w:w="0" w:type="dxa"/>
            <w:right w:w="0" w:type="dxa"/>
          </w:tblCellMar>
        </w:tblPrEx>
        <w:trPr>
          <w:trHeight w:val="1240" w:hRule="atLeast"/>
          <w:jc w:val="center"/>
        </w:trPr>
        <w:tc>
          <w:tcPr>
            <w:tcW w:w="12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7</w:t>
            </w:r>
          </w:p>
        </w:tc>
        <w:tc>
          <w:tcPr>
            <w:tcW w:w="1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湘财资环指（2020）55号、湘财资环指（2020）15号</w:t>
            </w:r>
          </w:p>
        </w:tc>
        <w:tc>
          <w:tcPr>
            <w:tcW w:w="1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古丈1:1万地质灾害调查与风险评价</w:t>
            </w:r>
          </w:p>
        </w:tc>
        <w:tc>
          <w:tcPr>
            <w:tcW w:w="13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64.67 </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190.03 </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179.38 </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75.31 </w:t>
            </w:r>
          </w:p>
        </w:tc>
      </w:tr>
      <w:tr>
        <w:tblPrEx>
          <w:tblCellMar>
            <w:top w:w="0" w:type="dxa"/>
            <w:left w:w="0" w:type="dxa"/>
            <w:bottom w:w="0" w:type="dxa"/>
            <w:right w:w="0" w:type="dxa"/>
          </w:tblCellMar>
        </w:tblPrEx>
        <w:trPr>
          <w:trHeight w:val="1240" w:hRule="atLeast"/>
          <w:jc w:val="center"/>
        </w:trPr>
        <w:tc>
          <w:tcPr>
            <w:tcW w:w="12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8</w:t>
            </w:r>
          </w:p>
        </w:tc>
        <w:tc>
          <w:tcPr>
            <w:tcW w:w="1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湘财资环指（2020）55号、湘财资环指（2020）15号</w:t>
            </w:r>
          </w:p>
        </w:tc>
        <w:tc>
          <w:tcPr>
            <w:tcW w:w="1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永顺1：1万地质灾害调查与风险评价</w:t>
            </w:r>
          </w:p>
        </w:tc>
        <w:tc>
          <w:tcPr>
            <w:tcW w:w="13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56.92 </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477.04 </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386.73 </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147.23 </w:t>
            </w:r>
          </w:p>
        </w:tc>
      </w:tr>
      <w:tr>
        <w:tblPrEx>
          <w:tblCellMar>
            <w:top w:w="0" w:type="dxa"/>
            <w:left w:w="0" w:type="dxa"/>
            <w:bottom w:w="0" w:type="dxa"/>
            <w:right w:w="0" w:type="dxa"/>
          </w:tblCellMar>
        </w:tblPrEx>
        <w:trPr>
          <w:trHeight w:val="1240" w:hRule="atLeast"/>
          <w:jc w:val="center"/>
        </w:trPr>
        <w:tc>
          <w:tcPr>
            <w:tcW w:w="121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9</w:t>
            </w:r>
          </w:p>
        </w:tc>
        <w:tc>
          <w:tcPr>
            <w:tcW w:w="160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湘财资环指（2020）55号、湘财资环指（2020）15号</w:t>
            </w:r>
          </w:p>
        </w:tc>
        <w:tc>
          <w:tcPr>
            <w:tcW w:w="148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凤凰1：1万地质灾害调查与风险评价</w:t>
            </w:r>
          </w:p>
        </w:tc>
        <w:tc>
          <w:tcPr>
            <w:tcW w:w="13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77.87 </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252.58  </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293.29 </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32"/>
                <w:szCs w:val="32"/>
                <w:u w:val="none"/>
              </w:rPr>
            </w:pPr>
            <w:r>
              <w:rPr>
                <w:rFonts w:hint="eastAsia" w:asciiTheme="minorEastAsia" w:hAnsiTheme="minorEastAsia" w:eastAsiaTheme="minorEastAsia" w:cstheme="minorEastAsia"/>
                <w:i w:val="0"/>
                <w:color w:val="000000"/>
                <w:kern w:val="0"/>
                <w:sz w:val="32"/>
                <w:szCs w:val="32"/>
                <w:u w:val="none"/>
                <w:lang w:val="en-US" w:eastAsia="zh-CN" w:bidi="ar"/>
              </w:rPr>
              <w:t xml:space="preserve">37.16  </w:t>
            </w:r>
          </w:p>
        </w:tc>
      </w:tr>
      <w:tr>
        <w:tblPrEx>
          <w:tblCellMar>
            <w:top w:w="0" w:type="dxa"/>
            <w:left w:w="0" w:type="dxa"/>
            <w:bottom w:w="0" w:type="dxa"/>
            <w:right w:w="0" w:type="dxa"/>
          </w:tblCellMar>
        </w:tblPrEx>
        <w:trPr>
          <w:trHeight w:val="480" w:hRule="atLeast"/>
          <w:jc w:val="center"/>
        </w:trPr>
        <w:tc>
          <w:tcPr>
            <w:tcW w:w="4297" w:type="dxa"/>
            <w:gridSpan w:val="3"/>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000000"/>
                <w:sz w:val="32"/>
                <w:szCs w:val="32"/>
                <w:u w:val="none"/>
              </w:rPr>
            </w:pPr>
            <w:r>
              <w:rPr>
                <w:rFonts w:hint="eastAsia" w:asciiTheme="minorEastAsia" w:hAnsiTheme="minorEastAsia" w:eastAsiaTheme="minorEastAsia" w:cstheme="minorEastAsia"/>
                <w:b/>
                <w:bCs/>
                <w:i w:val="0"/>
                <w:color w:val="000000"/>
                <w:kern w:val="0"/>
                <w:sz w:val="32"/>
                <w:szCs w:val="32"/>
                <w:u w:val="none"/>
                <w:lang w:val="en-US" w:eastAsia="zh-CN" w:bidi="ar"/>
              </w:rPr>
              <w:t>合     计</w:t>
            </w:r>
          </w:p>
        </w:tc>
        <w:tc>
          <w:tcPr>
            <w:tcW w:w="137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color w:val="000000"/>
                <w:sz w:val="32"/>
                <w:szCs w:val="32"/>
                <w:u w:val="none"/>
              </w:rPr>
            </w:pPr>
            <w:r>
              <w:rPr>
                <w:rFonts w:hint="eastAsia" w:asciiTheme="minorEastAsia" w:hAnsiTheme="minorEastAsia" w:eastAsiaTheme="minorEastAsia" w:cstheme="minorEastAsia"/>
                <w:b/>
                <w:bCs/>
                <w:i w:val="0"/>
                <w:color w:val="000000"/>
                <w:kern w:val="0"/>
                <w:sz w:val="32"/>
                <w:szCs w:val="32"/>
                <w:u w:val="none"/>
                <w:lang w:val="en-US" w:eastAsia="zh-CN" w:bidi="ar"/>
              </w:rPr>
              <w:t xml:space="preserve">220.93 </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color w:val="000000"/>
                <w:sz w:val="32"/>
                <w:szCs w:val="32"/>
                <w:u w:val="none"/>
              </w:rPr>
            </w:pPr>
            <w:r>
              <w:rPr>
                <w:rFonts w:hint="eastAsia" w:asciiTheme="minorEastAsia" w:hAnsiTheme="minorEastAsia" w:eastAsiaTheme="minorEastAsia" w:cstheme="minorEastAsia"/>
                <w:b/>
                <w:bCs/>
                <w:i w:val="0"/>
                <w:color w:val="000000"/>
                <w:kern w:val="0"/>
                <w:sz w:val="32"/>
                <w:szCs w:val="32"/>
                <w:u w:val="none"/>
                <w:lang w:val="en-US" w:eastAsia="zh-CN" w:bidi="ar"/>
              </w:rPr>
              <w:t xml:space="preserve">1,292.22 </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color w:val="000000"/>
                <w:sz w:val="32"/>
                <w:szCs w:val="32"/>
                <w:u w:val="none"/>
              </w:rPr>
            </w:pPr>
            <w:r>
              <w:rPr>
                <w:rFonts w:hint="eastAsia" w:asciiTheme="minorEastAsia" w:hAnsiTheme="minorEastAsia" w:eastAsiaTheme="minorEastAsia" w:cstheme="minorEastAsia"/>
                <w:b/>
                <w:bCs/>
                <w:i w:val="0"/>
                <w:color w:val="000000"/>
                <w:kern w:val="0"/>
                <w:sz w:val="32"/>
                <w:szCs w:val="32"/>
                <w:u w:val="none"/>
                <w:lang w:val="en-US" w:eastAsia="zh-CN" w:bidi="ar"/>
              </w:rPr>
              <w:t xml:space="preserve">1,184.67 </w:t>
            </w:r>
          </w:p>
        </w:tc>
        <w:tc>
          <w:tcPr>
            <w:tcW w:w="119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color w:val="000000"/>
                <w:sz w:val="32"/>
                <w:szCs w:val="32"/>
                <w:u w:val="none"/>
              </w:rPr>
            </w:pPr>
            <w:r>
              <w:rPr>
                <w:rFonts w:hint="eastAsia" w:asciiTheme="minorEastAsia" w:hAnsiTheme="minorEastAsia" w:eastAsiaTheme="minorEastAsia" w:cstheme="minorEastAsia"/>
                <w:b/>
                <w:bCs/>
                <w:i w:val="0"/>
                <w:color w:val="000000"/>
                <w:kern w:val="0"/>
                <w:sz w:val="32"/>
                <w:szCs w:val="32"/>
                <w:u w:val="none"/>
                <w:lang w:val="en-US" w:eastAsia="zh-CN" w:bidi="ar"/>
              </w:rPr>
              <w:t xml:space="preserve">328.48 </w:t>
            </w: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pPr>
      <w:r>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t>2、2021年项目实施及完成情况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textAlignment w:val="auto"/>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pPr>
      <w:r>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t>（1）“我为群众办实事”专项（45万元）：本年到位项目资金450,000.00元，已全部支出，其中：23栋楼前步行道维修费支出12,031.00元，支付湖南立宇建设工程公司16、17、18栋前坪改造项目款437,969.00元。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right="0" w:rightChars="0" w:firstLine="640" w:firstLineChars="200"/>
        <w:jc w:val="both"/>
        <w:textAlignment w:val="auto"/>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pP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（2）</w:t>
      </w:r>
      <w:r>
        <w:rPr>
          <w:rFonts w:hint="eastAsia" w:asciiTheme="minorEastAsia" w:hAnsiTheme="minorEastAsia" w:eastAsiaTheme="minorEastAsia" w:cstheme="minorEastAsia"/>
          <w:caps w:val="0"/>
          <w:color w:val="333333"/>
          <w:spacing w:val="-6"/>
          <w:kern w:val="0"/>
          <w:sz w:val="32"/>
          <w:szCs w:val="32"/>
          <w:shd w:val="clear" w:color="auto" w:fill="FFFFFF"/>
          <w:lang w:val="en-US" w:eastAsia="zh-CN" w:bidi="ar"/>
        </w:rPr>
        <w:t>“资产清查”专项（4.6万元）：</w:t>
      </w:r>
      <w:r>
        <w:rPr>
          <w:rFonts w:hint="eastAsia" w:asciiTheme="minorEastAsia" w:hAnsiTheme="minorEastAsia" w:eastAsiaTheme="minorEastAsia" w:cstheme="minorEastAsia"/>
          <w:caps w:val="0"/>
          <w:color w:val="auto"/>
          <w:spacing w:val="-6"/>
          <w:kern w:val="0"/>
          <w:sz w:val="32"/>
          <w:szCs w:val="32"/>
          <w:highlight w:val="none"/>
          <w:shd w:val="clear" w:color="auto" w:fill="FFFFFF"/>
          <w:lang w:val="en-US" w:eastAsia="zh-CN" w:bidi="ar"/>
        </w:rPr>
        <w:t>本年到位项目资金46,000.00元，已全部支出，用于支付长沙国瑞联合会计师事务</w:t>
      </w:r>
      <w:r>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t>所资产清查审计费。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right="0" w:rightChars="0" w:firstLine="640" w:firstLineChars="200"/>
        <w:jc w:val="both"/>
        <w:textAlignment w:val="auto"/>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pPr>
      <w:r>
        <w:rPr>
          <w:rFonts w:hint="eastAsia" w:asciiTheme="minorEastAsia" w:hAnsiTheme="minorEastAsia" w:eastAsiaTheme="minorEastAsia" w:cstheme="minorEastAsia"/>
          <w:b w:val="0"/>
          <w:bCs w:val="0"/>
          <w:caps w:val="0"/>
          <w:color w:val="auto"/>
          <w:spacing w:val="0"/>
          <w:kern w:val="0"/>
          <w:sz w:val="32"/>
          <w:szCs w:val="32"/>
          <w:shd w:val="clear" w:color="auto" w:fill="FFFFFF"/>
          <w:lang w:val="en-US" w:eastAsia="zh-CN" w:bidi="ar"/>
        </w:rPr>
        <w:t>（3）职业病遗属补助专项（4.27万元）：</w:t>
      </w:r>
      <w:r>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t>本年到位项目资金42,700.00元，已全部支出，用于遗属生活困难补助。</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right="0" w:rightChars="0" w:firstLine="640" w:firstLineChars="200"/>
        <w:jc w:val="both"/>
        <w:textAlignment w:val="auto"/>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pPr>
      <w:r>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t>（4）监测预警能力建设补助（40万元）：该项目资金2021年12月才拨入，截止2021年底项目资金尚未支出。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right="0" w:rightChars="0" w:firstLine="640" w:firstLineChars="200"/>
        <w:jc w:val="both"/>
        <w:textAlignment w:val="auto"/>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pPr>
      <w:r>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t>（5）湖南省矿产资源国情调查（98.2万元）：年初结转结余21.48万元，本年拨入98.2万元，本年支出119.68元，年末无结转结余，主要用于项目交通费、租车费、劳务费、办公费等。</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right="0" w:rightChars="0" w:firstLine="560"/>
        <w:jc w:val="both"/>
        <w:textAlignment w:val="auto"/>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pPr>
      <w:r>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t>（6）花垣县1：1万地质灾害调查与风险评价（180.5万元）：年初无结转结余，本年拨入项目资金180.5万元，本年支出151.73万元，年末结转结余28.78万元。主要用于项目交通费、租车费、劳务费、办公费等。截止目前，野外调（勘）查完成率88%，完成野外调查斜坡数量2665个（其中低风险2013个，中风险542个，高风险89个，极高风险21个），完成斜坡总数量的100%；并野外同步完成老灾点现场复核86个（含新增3个）、切坡建房调查3504宗（野外初步认定极高风险81个、高风险218个、中风险384处、低风险2821处），完成各类调查点11870个，其中遥感解译点29个，斜坡孕灾地质调查点2238个（面表），沟谷孕灾地质调查点46个（面点），孕灾地质调查点36个，岩土体结构调查点5976个。工程钻探108m，简易钻探76m，探井19m，1:2000剖面测量2149m。</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right="0" w:rightChars="0" w:firstLine="560"/>
        <w:jc w:val="both"/>
        <w:textAlignment w:val="auto"/>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pPr>
      <w:r>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t>（7）古丈1:1万地质灾害调查与风险评价（190.03万元）：年初结转结余64.67万元，本年拨入项目资金190.03万元，本年支出179.38万元，年末结转结余75.31万元。主要用于项目交通费、租车费、劳务费、办公费等。野外调（勘）查完成率（含1∶10000地质灾害测量（正测）423.1 km</w:t>
      </w:r>
      <w:r>
        <w:rPr>
          <w:rFonts w:hint="eastAsia" w:asciiTheme="minorEastAsia" w:hAnsiTheme="minorEastAsia" w:eastAsiaTheme="minorEastAsia" w:cstheme="minorEastAsia"/>
          <w:caps w:val="0"/>
          <w:color w:val="auto"/>
          <w:spacing w:val="0"/>
          <w:kern w:val="0"/>
          <w:sz w:val="32"/>
          <w:szCs w:val="32"/>
          <w:highlight w:val="none"/>
          <w:shd w:val="clear" w:color="auto" w:fill="FFFFFF"/>
          <w:vertAlign w:val="superscript"/>
          <w:lang w:val="en-US" w:eastAsia="zh-CN" w:bidi="ar"/>
        </w:rPr>
        <w:t>2</w:t>
      </w:r>
      <w:r>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t>，1∶10000地质灾害测量（草测）837.34km</w:t>
      </w:r>
      <w:r>
        <w:rPr>
          <w:rFonts w:hint="eastAsia" w:asciiTheme="minorEastAsia" w:hAnsiTheme="minorEastAsia" w:eastAsiaTheme="minorEastAsia" w:cstheme="minorEastAsia"/>
          <w:caps w:val="0"/>
          <w:color w:val="auto"/>
          <w:spacing w:val="0"/>
          <w:kern w:val="0"/>
          <w:sz w:val="32"/>
          <w:szCs w:val="32"/>
          <w:highlight w:val="none"/>
          <w:shd w:val="clear" w:color="auto" w:fill="FFFFFF"/>
          <w:vertAlign w:val="superscript"/>
          <w:lang w:val="en-US" w:eastAsia="zh-CN" w:bidi="ar"/>
        </w:rPr>
        <w:t>2</w:t>
      </w:r>
      <w:r>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t>，1：2000地质灾害测量（正测）5.92 km</w:t>
      </w:r>
      <w:r>
        <w:rPr>
          <w:rFonts w:hint="eastAsia" w:asciiTheme="minorEastAsia" w:hAnsiTheme="minorEastAsia" w:eastAsiaTheme="minorEastAsia" w:cstheme="minorEastAsia"/>
          <w:caps w:val="0"/>
          <w:color w:val="auto"/>
          <w:spacing w:val="0"/>
          <w:kern w:val="0"/>
          <w:sz w:val="32"/>
          <w:szCs w:val="32"/>
          <w:highlight w:val="none"/>
          <w:shd w:val="clear" w:color="auto" w:fill="FFFFFF"/>
          <w:vertAlign w:val="superscript"/>
          <w:lang w:val="en-US" w:eastAsia="zh-CN" w:bidi="ar"/>
        </w:rPr>
        <w:t>2</w:t>
      </w:r>
      <w:r>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t>，1：1000地质剖面测量15.66km，1∶2000地质剖面测量14.46 km，工程地质钻探177 m，简易钻探427 m，浅井265m），截止目前已完成72.34%，2021年7月以后疫情防控升级，调查速度延缓。</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exact"/>
        <w:ind w:right="0" w:rightChars="0" w:firstLine="560"/>
        <w:jc w:val="both"/>
        <w:textAlignment w:val="auto"/>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pPr>
      <w:r>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t>（8）永顺1：1万地质灾害调查与风险评价（477.04万元）：年初结转结余56.92万元，本年拨入项目资金477.04万元，本年支出386.73万元，年末结转结余147.23万元。主要用于项目差旅费、租车费、办公费等。截止2021年12月31日，地质测量完成23.31%，遥感完成率100%，已完成设计工作的55.20%。</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rightChars="0" w:firstLine="560"/>
        <w:jc w:val="both"/>
        <w:textAlignment w:val="auto"/>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pPr>
      <w:r>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t>（9）凤凰1：1万地质灾害调查与风险评价（252.58万元）：年初结转结余77.87万元，本年拨入项目资金252.58万元，本年支出293.29万元，年末结转结余37.16万元。主要用于项目差旅费、租车费、办公费等。目前野外调（勘）查完成率87.5%，较好的完成了野外调（勘）工作，含1∶10000地质灾害测量（正测）383.52km</w:t>
      </w:r>
      <w:r>
        <w:rPr>
          <w:rFonts w:hint="eastAsia" w:asciiTheme="minorEastAsia" w:hAnsiTheme="minorEastAsia" w:eastAsiaTheme="minorEastAsia" w:cstheme="minorEastAsia"/>
          <w:caps w:val="0"/>
          <w:color w:val="auto"/>
          <w:spacing w:val="0"/>
          <w:kern w:val="0"/>
          <w:sz w:val="32"/>
          <w:szCs w:val="32"/>
          <w:highlight w:val="none"/>
          <w:shd w:val="clear" w:color="auto" w:fill="FFFFFF"/>
          <w:vertAlign w:val="superscript"/>
          <w:lang w:val="en-US" w:eastAsia="zh-CN" w:bidi="ar"/>
        </w:rPr>
        <w:t>2</w:t>
      </w:r>
      <w:r>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t>，1∶10000地质灾害测量（草测）707.20km</w:t>
      </w:r>
      <w:r>
        <w:rPr>
          <w:rFonts w:hint="eastAsia" w:asciiTheme="minorEastAsia" w:hAnsiTheme="minorEastAsia" w:eastAsiaTheme="minorEastAsia" w:cstheme="minorEastAsia"/>
          <w:caps w:val="0"/>
          <w:color w:val="auto"/>
          <w:spacing w:val="0"/>
          <w:kern w:val="0"/>
          <w:sz w:val="32"/>
          <w:szCs w:val="32"/>
          <w:highlight w:val="none"/>
          <w:shd w:val="clear" w:color="auto" w:fill="FFFFFF"/>
          <w:vertAlign w:val="superscript"/>
          <w:lang w:val="en-US" w:eastAsia="zh-CN" w:bidi="ar"/>
        </w:rPr>
        <w:t>2</w:t>
      </w:r>
      <w:r>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t>，1∶2000地质灾害测量（正测）0.31km</w:t>
      </w:r>
      <w:r>
        <w:rPr>
          <w:rFonts w:hint="eastAsia" w:asciiTheme="minorEastAsia" w:hAnsiTheme="minorEastAsia" w:eastAsiaTheme="minorEastAsia" w:cstheme="minorEastAsia"/>
          <w:caps w:val="0"/>
          <w:color w:val="auto"/>
          <w:spacing w:val="0"/>
          <w:kern w:val="0"/>
          <w:sz w:val="32"/>
          <w:szCs w:val="32"/>
          <w:highlight w:val="none"/>
          <w:shd w:val="clear" w:color="auto" w:fill="FFFFFF"/>
          <w:vertAlign w:val="superscript"/>
          <w:lang w:val="en-US" w:eastAsia="zh-CN" w:bidi="ar"/>
        </w:rPr>
        <w:t>2</w:t>
      </w:r>
      <w:r>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t>，1∶2000地质剖面测量1.21km，临切坡建房5384宗。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562"/>
        <w:jc w:val="both"/>
        <w:textAlignment w:val="auto"/>
        <w:rPr>
          <w:rFonts w:hint="eastAsia" w:asciiTheme="minorEastAsia" w:hAnsiTheme="minorEastAsia" w:eastAsiaTheme="minorEastAsia" w:cstheme="minorEastAsia"/>
          <w:b/>
          <w:caps w:val="0"/>
          <w:color w:val="333333"/>
          <w:spacing w:val="0"/>
          <w:kern w:val="0"/>
          <w:sz w:val="32"/>
          <w:szCs w:val="32"/>
          <w:shd w:val="clear" w:color="auto" w:fill="FFFFFF"/>
          <w:lang w:val="en-US" w:eastAsia="zh-CN" w:bidi="ar"/>
        </w:rPr>
      </w:pPr>
      <w:r>
        <w:rPr>
          <w:rFonts w:hint="eastAsia" w:asciiTheme="minorEastAsia" w:hAnsiTheme="minorEastAsia" w:eastAsiaTheme="minorEastAsia" w:cstheme="minorEastAsia"/>
          <w:b/>
          <w:caps w:val="0"/>
          <w:color w:val="333333"/>
          <w:spacing w:val="0"/>
          <w:kern w:val="0"/>
          <w:sz w:val="32"/>
          <w:szCs w:val="32"/>
          <w:shd w:val="clear" w:color="auto" w:fill="FFFFFF"/>
          <w:lang w:val="en-US" w:eastAsia="zh-CN" w:bidi="ar"/>
        </w:rPr>
        <w:t>三、政府性基金预算支出情况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562"/>
        <w:jc w:val="both"/>
        <w:textAlignment w:val="auto"/>
        <w:rPr>
          <w:rFonts w:hint="eastAsia" w:asciiTheme="minorEastAsia" w:hAnsiTheme="minorEastAsia" w:eastAsiaTheme="minorEastAsia" w:cstheme="minorEastAsia"/>
          <w:b w:val="0"/>
          <w:bCs/>
          <w:caps w:val="0"/>
          <w:color w:val="333333"/>
          <w:spacing w:val="0"/>
          <w:kern w:val="0"/>
          <w:sz w:val="32"/>
          <w:szCs w:val="32"/>
          <w:shd w:val="clear" w:color="auto" w:fill="FFFFFF"/>
          <w:lang w:val="en-US" w:eastAsia="zh-CN" w:bidi="ar"/>
        </w:rPr>
      </w:pPr>
      <w:r>
        <w:rPr>
          <w:rFonts w:hint="eastAsia" w:asciiTheme="minorEastAsia" w:hAnsiTheme="minorEastAsia" w:eastAsiaTheme="minorEastAsia" w:cstheme="minorEastAsia"/>
          <w:b w:val="0"/>
          <w:bCs/>
          <w:caps w:val="0"/>
          <w:color w:val="333333"/>
          <w:spacing w:val="0"/>
          <w:kern w:val="0"/>
          <w:sz w:val="32"/>
          <w:szCs w:val="32"/>
          <w:shd w:val="clear" w:color="auto" w:fill="FFFFFF"/>
          <w:lang w:val="en-US" w:eastAsia="zh-CN" w:bidi="ar"/>
        </w:rPr>
        <w:t>2021年本单位无政府性基金预算支出。</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562"/>
        <w:jc w:val="both"/>
        <w:textAlignment w:val="auto"/>
        <w:rPr>
          <w:rFonts w:hint="eastAsia" w:asciiTheme="minorEastAsia" w:hAnsiTheme="minorEastAsia" w:eastAsiaTheme="minorEastAsia" w:cstheme="minorEastAsia"/>
          <w:b/>
          <w:bCs w:val="0"/>
          <w:caps w:val="0"/>
          <w:color w:val="333333"/>
          <w:spacing w:val="0"/>
          <w:kern w:val="0"/>
          <w:sz w:val="32"/>
          <w:szCs w:val="32"/>
          <w:shd w:val="clear" w:color="auto" w:fill="FFFFFF"/>
          <w:lang w:val="en-US" w:eastAsia="zh-CN" w:bidi="ar"/>
        </w:rPr>
      </w:pPr>
      <w:r>
        <w:rPr>
          <w:rFonts w:hint="eastAsia" w:asciiTheme="minorEastAsia" w:hAnsiTheme="minorEastAsia" w:eastAsiaTheme="minorEastAsia" w:cstheme="minorEastAsia"/>
          <w:b/>
          <w:bCs w:val="0"/>
          <w:caps w:val="0"/>
          <w:color w:val="333333"/>
          <w:spacing w:val="0"/>
          <w:kern w:val="0"/>
          <w:sz w:val="32"/>
          <w:szCs w:val="32"/>
          <w:shd w:val="clear" w:color="auto" w:fill="FFFFFF"/>
          <w:lang w:val="en-US" w:eastAsia="zh-CN" w:bidi="ar"/>
        </w:rPr>
        <w:t>国有资本经营预算支出情况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562" w:leftChars="0" w:right="0" w:rightChars="0"/>
        <w:jc w:val="both"/>
        <w:textAlignment w:val="auto"/>
        <w:rPr>
          <w:rFonts w:hint="eastAsia" w:asciiTheme="minorEastAsia" w:hAnsiTheme="minorEastAsia" w:eastAsiaTheme="minorEastAsia" w:cstheme="minorEastAsia"/>
          <w:b w:val="0"/>
          <w:bCs/>
          <w:caps w:val="0"/>
          <w:color w:val="333333"/>
          <w:spacing w:val="0"/>
          <w:kern w:val="0"/>
          <w:sz w:val="32"/>
          <w:szCs w:val="32"/>
          <w:shd w:val="clear" w:color="auto" w:fill="FFFFFF"/>
          <w:lang w:val="en-US" w:eastAsia="zh-CN" w:bidi="ar"/>
        </w:rPr>
      </w:pPr>
      <w:r>
        <w:rPr>
          <w:rFonts w:hint="eastAsia" w:asciiTheme="minorEastAsia" w:hAnsiTheme="minorEastAsia" w:eastAsiaTheme="minorEastAsia" w:cstheme="minorEastAsia"/>
          <w:b w:val="0"/>
          <w:bCs/>
          <w:caps w:val="0"/>
          <w:color w:val="333333"/>
          <w:spacing w:val="0"/>
          <w:kern w:val="0"/>
          <w:sz w:val="32"/>
          <w:szCs w:val="32"/>
          <w:shd w:val="clear" w:color="auto" w:fill="FFFFFF"/>
          <w:lang w:val="en-US" w:eastAsia="zh-CN" w:bidi="ar"/>
        </w:rPr>
        <w:t>2021年本单位无国有资本经营预算支出。</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leftChars="0" w:right="0" w:firstLine="562" w:firstLineChars="0"/>
        <w:jc w:val="both"/>
        <w:textAlignment w:val="auto"/>
        <w:rPr>
          <w:rFonts w:hint="eastAsia" w:asciiTheme="minorEastAsia" w:hAnsiTheme="minorEastAsia" w:eastAsiaTheme="minorEastAsia" w:cstheme="minorEastAsia"/>
          <w:b/>
          <w:caps w:val="0"/>
          <w:color w:val="333333"/>
          <w:spacing w:val="0"/>
          <w:kern w:val="0"/>
          <w:sz w:val="32"/>
          <w:szCs w:val="32"/>
          <w:shd w:val="clear" w:color="auto" w:fill="FFFFFF"/>
          <w:lang w:val="en-US" w:eastAsia="zh-CN" w:bidi="ar"/>
        </w:rPr>
      </w:pPr>
      <w:r>
        <w:rPr>
          <w:rFonts w:hint="eastAsia" w:asciiTheme="minorEastAsia" w:hAnsiTheme="minorEastAsia" w:eastAsiaTheme="minorEastAsia" w:cstheme="minorEastAsia"/>
          <w:b/>
          <w:caps w:val="0"/>
          <w:color w:val="333333"/>
          <w:spacing w:val="0"/>
          <w:kern w:val="0"/>
          <w:sz w:val="32"/>
          <w:szCs w:val="32"/>
          <w:shd w:val="clear" w:color="auto" w:fill="FFFFFF"/>
          <w:lang w:val="en-US" w:eastAsia="zh-CN" w:bidi="ar"/>
        </w:rPr>
        <w:t>社会保险基金预算支出情况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562" w:leftChars="0" w:right="0" w:rightChars="0"/>
        <w:jc w:val="both"/>
        <w:textAlignment w:val="auto"/>
        <w:rPr>
          <w:rFonts w:hint="eastAsia" w:asciiTheme="minorEastAsia" w:hAnsiTheme="minorEastAsia" w:eastAsiaTheme="minorEastAsia" w:cstheme="minorEastAsia"/>
          <w:b/>
          <w:caps w:val="0"/>
          <w:color w:val="333333"/>
          <w:spacing w:val="0"/>
          <w:kern w:val="0"/>
          <w:sz w:val="32"/>
          <w:szCs w:val="32"/>
          <w:shd w:val="clear" w:color="auto" w:fill="FFFFFF"/>
          <w:lang w:val="en-US" w:eastAsia="zh-CN" w:bidi="ar"/>
        </w:rPr>
      </w:pPr>
      <w:r>
        <w:rPr>
          <w:rFonts w:hint="eastAsia" w:asciiTheme="minorEastAsia" w:hAnsiTheme="minorEastAsia" w:eastAsiaTheme="minorEastAsia" w:cstheme="minorEastAsia"/>
          <w:b w:val="0"/>
          <w:bCs/>
          <w:caps w:val="0"/>
          <w:color w:val="333333"/>
          <w:spacing w:val="0"/>
          <w:kern w:val="0"/>
          <w:sz w:val="32"/>
          <w:szCs w:val="32"/>
          <w:shd w:val="clear" w:color="auto" w:fill="FFFFFF"/>
          <w:lang w:val="en-US" w:eastAsia="zh-CN" w:bidi="ar"/>
        </w:rPr>
        <w:t>2021年本单位无社会保险基金预算支出。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562"/>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caps w:val="0"/>
          <w:color w:val="333333"/>
          <w:spacing w:val="0"/>
          <w:kern w:val="0"/>
          <w:sz w:val="32"/>
          <w:szCs w:val="32"/>
          <w:shd w:val="clear" w:color="auto" w:fill="FFFFFF"/>
          <w:lang w:val="en-US" w:eastAsia="zh-CN" w:bidi="ar"/>
        </w:rPr>
        <w:t>六、部门整体支出绩效情况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562"/>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caps w:val="0"/>
          <w:color w:val="333333"/>
          <w:spacing w:val="0"/>
          <w:kern w:val="0"/>
          <w:sz w:val="32"/>
          <w:szCs w:val="32"/>
          <w:shd w:val="clear" w:color="auto" w:fill="FFFFFF"/>
          <w:lang w:val="en-US" w:eastAsia="zh-CN" w:bidi="ar"/>
        </w:rPr>
        <w:t>（一）部门整体收支情况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56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本单位2021年年初结转220.93万元，均为项目支出结转，2021年总收入6,156.61万元，其中一般公共预算财政拨款收入4365.19万元，经营收1,791.42万元；本年支出合计6049.06万元，其中基本支出3,072.97万元，项目支出1,184.67万元，经营支出1,791.42万元。年末结余和结转328.48万元，全口径预算执行率</w:t>
      </w:r>
      <w:r>
        <w:rPr>
          <w:rFonts w:hint="eastAsia" w:asciiTheme="minorEastAsia" w:hAnsiTheme="minorEastAsia" w:eastAsiaTheme="minorEastAsia" w:cstheme="minorEastAsia"/>
          <w:caps w:val="0"/>
          <w:color w:val="auto"/>
          <w:spacing w:val="0"/>
          <w:kern w:val="0"/>
          <w:sz w:val="32"/>
          <w:szCs w:val="32"/>
          <w:shd w:val="clear" w:color="auto" w:fill="FFFFFF"/>
          <w:lang w:val="en-US" w:eastAsia="zh-CN" w:bidi="ar"/>
        </w:rPr>
        <w:t>达</w:t>
      </w:r>
      <w:r>
        <w:rPr>
          <w:rFonts w:hint="eastAsia" w:asciiTheme="minorEastAsia" w:hAnsiTheme="minorEastAsia" w:eastAsiaTheme="minorEastAsia" w:cstheme="minorEastAsia"/>
          <w:caps w:val="0"/>
          <w:color w:val="auto"/>
          <w:spacing w:val="0"/>
          <w:kern w:val="0"/>
          <w:sz w:val="32"/>
          <w:szCs w:val="32"/>
          <w:highlight w:val="none"/>
          <w:shd w:val="clear" w:color="auto" w:fill="FFFFFF"/>
          <w:lang w:val="en-US" w:eastAsia="zh-CN" w:bidi="ar"/>
        </w:rPr>
        <w:t>98.25%</w:t>
      </w: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本年一般公共预算财政拨款收入决算数为4365.19万元，年初预算数为3,071.77万元，本年财政追加预算指标1,293.42万元。本年经营收入决算数为1791.42万元，年初预算数为1721.64万元，超额完成预算69.78万元。本年无新建楼堂馆所项目发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562"/>
        <w:jc w:val="both"/>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aps w:val="0"/>
          <w:color w:val="auto"/>
          <w:spacing w:val="0"/>
          <w:kern w:val="0"/>
          <w:sz w:val="32"/>
          <w:szCs w:val="32"/>
          <w:shd w:val="clear" w:color="auto" w:fill="FFFFFF"/>
          <w:lang w:val="en-US" w:eastAsia="zh-CN" w:bidi="ar"/>
        </w:rPr>
        <w:t>（二）“三公经费”情况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90" w:lineRule="exact"/>
        <w:ind w:left="0" w:right="0" w:firstLine="562"/>
        <w:jc w:val="both"/>
        <w:textAlignment w:val="auto"/>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pP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本年度没有发生公务用车购置及因公出国（境）事项。单位现存其他用车1台，运行维护费在经营支出中列支。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90" w:lineRule="exact"/>
        <w:ind w:left="0" w:right="0" w:firstLine="562"/>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caps w:val="0"/>
          <w:color w:val="333333"/>
          <w:spacing w:val="0"/>
          <w:kern w:val="0"/>
          <w:sz w:val="32"/>
          <w:szCs w:val="32"/>
          <w:shd w:val="clear" w:color="auto" w:fill="FFFFFF"/>
          <w:lang w:val="en-US" w:eastAsia="zh-CN" w:bidi="ar"/>
        </w:rPr>
        <w:t>（三）年末结转和结余情况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90" w:lineRule="exact"/>
        <w:ind w:left="0" w:right="0" w:firstLine="56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年末财政拨款结转和结余共计328.48万元，均为项目支出结转，主要为未完项目资金，已结转到2022年使用。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90" w:lineRule="exact"/>
        <w:ind w:left="0" w:right="0" w:firstLine="562"/>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caps w:val="0"/>
          <w:color w:val="333333"/>
          <w:spacing w:val="0"/>
          <w:kern w:val="0"/>
          <w:sz w:val="32"/>
          <w:szCs w:val="32"/>
          <w:shd w:val="clear" w:color="auto" w:fill="FFFFFF"/>
          <w:lang w:val="en-US" w:eastAsia="zh-CN" w:bidi="ar"/>
        </w:rPr>
        <w:t>（四）产出和效益情况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firstLine="561"/>
        <w:jc w:val="both"/>
        <w:textAlignment w:val="auto"/>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pP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1、</w:t>
      </w:r>
      <w:r>
        <w:rPr>
          <w:rFonts w:hint="eastAsia" w:asciiTheme="minorEastAsia" w:hAnsiTheme="minorEastAsia" w:eastAsiaTheme="minorEastAsia" w:cstheme="minorEastAsia"/>
          <w:b/>
          <w:bCs/>
          <w:caps w:val="0"/>
          <w:color w:val="333333"/>
          <w:spacing w:val="0"/>
          <w:kern w:val="0"/>
          <w:sz w:val="32"/>
          <w:szCs w:val="32"/>
          <w:shd w:val="clear" w:color="auto" w:fill="FFFFFF"/>
          <w:lang w:val="en-US" w:eastAsia="zh-CN" w:bidi="ar"/>
        </w:rPr>
        <w:t>全面落实日常地灾巡排查和突发性地质灾害应急处置。</w:t>
      </w: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对湘西州7县1市1区、张家界1市2县2区所有地质灾害隐患点、临坡切坡建房地灾隐患点开展拉网式排查。协助地方政府在两地开展“以村为主”的地质灾害应急避险演练，提升人民群众在灾害发生时自救互救逃生能力；开展地质灾害应急测绘演练，提升专业技术人员在灾害发生时快速获取、分析现场数据、应急处置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firstLine="561"/>
        <w:jc w:val="both"/>
        <w:textAlignment w:val="auto"/>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pP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2、</w:t>
      </w:r>
      <w:r>
        <w:rPr>
          <w:rFonts w:hint="eastAsia" w:asciiTheme="minorEastAsia" w:hAnsiTheme="minorEastAsia" w:eastAsiaTheme="minorEastAsia" w:cstheme="minorEastAsia"/>
          <w:b/>
          <w:bCs/>
          <w:caps w:val="0"/>
          <w:color w:val="333333"/>
          <w:spacing w:val="0"/>
          <w:kern w:val="0"/>
          <w:sz w:val="32"/>
          <w:szCs w:val="32"/>
          <w:shd w:val="clear" w:color="auto" w:fill="FFFFFF"/>
          <w:lang w:val="en-US" w:eastAsia="zh-CN" w:bidi="ar"/>
        </w:rPr>
        <w:t>科学谋划，全力推进湘西地质灾害监测预警中心、湘西州地震和地质灾害应急救援中心两个平台建设。</w:t>
      </w:r>
      <w:r>
        <w:rPr>
          <w:rFonts w:hint="eastAsia" w:asciiTheme="minorEastAsia" w:hAnsiTheme="minorEastAsia" w:eastAsiaTheme="minorEastAsia" w:cstheme="minorEastAsia"/>
          <w:caps w:val="0"/>
          <w:color w:val="333333"/>
          <w:spacing w:val="0"/>
          <w:kern w:val="0"/>
          <w:sz w:val="32"/>
          <w:szCs w:val="32"/>
          <w:highlight w:val="none"/>
          <w:shd w:val="clear" w:color="auto" w:fill="FFFFFF"/>
          <w:lang w:val="en-US" w:eastAsia="zh-CN" w:bidi="ar"/>
        </w:rPr>
        <w:t>我队承担的4个县</w:t>
      </w: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域1∶10000地质灾害调查和风险评价项目中，技术人员结合工作实际，创新推出遥感先行及“空天地”一体化作业技术，进度效率居于全省同类项目前列。在以往三维建模、倾斜摄影、定点抛投等地灾应急技术的基础上，今年探索了地灾应急处置+无人机空地多机位实时图传技术，创新了传统地灾演练的观摩方式；同时，积极探索地灾应急测绘技术，承办了湘西州首届地质灾害应急测绘演练，通过对数据的分析统计，可快速计算出受灾面积、体积及威胁房屋数量等信息，为救援及治理提供数据支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560"/>
        <w:jc w:val="both"/>
        <w:textAlignment w:val="auto"/>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pP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3、</w:t>
      </w:r>
      <w:r>
        <w:rPr>
          <w:rFonts w:hint="eastAsia" w:asciiTheme="minorEastAsia" w:hAnsiTheme="minorEastAsia" w:eastAsiaTheme="minorEastAsia" w:cstheme="minorEastAsia"/>
          <w:b/>
          <w:bCs/>
          <w:caps w:val="0"/>
          <w:color w:val="333333"/>
          <w:spacing w:val="0"/>
          <w:kern w:val="0"/>
          <w:sz w:val="32"/>
          <w:szCs w:val="32"/>
          <w:shd w:val="clear" w:color="auto" w:fill="FFFFFF"/>
          <w:lang w:val="en-US" w:eastAsia="zh-CN" w:bidi="ar"/>
        </w:rPr>
        <w:t>完善制度建设</w:t>
      </w: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2021年修订补充完善了《湖南省地勘局四〇五队业绩考核办法（修订）》、《湖南省地勘局四〇五队经济责任任务书管理办法（修订）》二个管理办法；制定了《湖南省地勘局四0五队政府采购内部控制制度（试行）》、《湖南省地勘局四〇五队应收账款管理办法（试行）》、《湖南省地勘局四〇五队资产管理办法（试行）》三个管理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560"/>
        <w:jc w:val="both"/>
        <w:textAlignment w:val="auto"/>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pPr>
      <w:r>
        <w:rPr>
          <w:rFonts w:hint="eastAsia" w:asciiTheme="minorEastAsia" w:hAnsiTheme="minorEastAsia" w:eastAsiaTheme="minorEastAsia" w:cstheme="minorEastAsia"/>
          <w:b/>
          <w:bCs/>
          <w:caps w:val="0"/>
          <w:color w:val="333333"/>
          <w:spacing w:val="0"/>
          <w:kern w:val="0"/>
          <w:sz w:val="32"/>
          <w:szCs w:val="32"/>
          <w:shd w:val="clear" w:color="auto" w:fill="FFFFFF"/>
          <w:lang w:val="en-US" w:eastAsia="zh-CN" w:bidi="ar"/>
        </w:rPr>
        <w:t>4、积极组织财务人员内培外训。</w:t>
      </w: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今年先后组织了《财政项目经费使用注意事项及发票附件要求的培训》、《会议室无纸化软件培训》、《生命探测仪培训》等。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firstLine="560"/>
        <w:jc w:val="both"/>
        <w:textAlignment w:val="auto"/>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pPr>
      <w:r>
        <w:rPr>
          <w:rFonts w:hint="eastAsia" w:asciiTheme="minorEastAsia" w:hAnsiTheme="minorEastAsia" w:eastAsiaTheme="minorEastAsia" w:cstheme="minorEastAsia"/>
          <w:b/>
          <w:bCs/>
          <w:caps w:val="0"/>
          <w:color w:val="333333"/>
          <w:spacing w:val="0"/>
          <w:kern w:val="0"/>
          <w:sz w:val="32"/>
          <w:szCs w:val="32"/>
          <w:shd w:val="clear" w:color="auto" w:fill="FFFFFF"/>
          <w:lang w:val="en-US" w:eastAsia="zh-CN" w:bidi="ar"/>
        </w:rPr>
        <w:t>5、资产管理方面。</w:t>
      </w: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1）湘西州地灾监测预警中心一期、二期设备采购以及机关无纸化办公系统合计195.55万元，地灾应急救援能力建设85.5万元，按省院要求政府采购流程已完成并交付使用；零星办公设备采购3.02万元通过政采云电子卖场合规下单采购完成并交付使用。张家界地灾指挥中心项目建设也已完成前期设计及预算工作，为明年新的能力建设打好了基础。配合队物业和安全科完成对院内多项基地改造项目的预算、申报、招标等工作，为院内美化、亮化营造舒适的工作和居住环境。（2）完成对劳保物资的盘存、整理、管理以及全年零星发放更换等工作，保障后勤物资及时供应到位。（3）经省局批准的报废事业车辆湘U05479已完成评估和报废处理，并已在车管所销户和报省院备案。（4）为净化积压的不良资产，减少管理成本与场地占用，已摸底清查出我队企业台账上部分已超出购置使用年限，且失去使用价值或维修价值的资产约230万余元，计划上报队内控小组审核、行政审批后报废处置。（5）全年各项设备进出库170余次，出租设备、仪器、管材等60余次；检修、保养钻机、泥浆泵、柴油机等设备14台套，维修大型钻机1台套，使其完好率达85%以上；本着厉行节约合理调配原则，对空调、电脑等设备调配使用21台套。（6）不动产权证登记办理事项第一批已完成166户，并已发证到住户。第二批已办理70户，还有53户已在终审阶段，将陆续完成后分发到户。（7）配合相关部门完成地质春天97户商铺及2套住宅的不动产权证办理工作，并已办理完成。（8）配合完成ISO2021认证工作；配合工勘测绘院等部门完成22台套测绘设备的年度鉴定，保证了专业设备的正常使用。（9）配合经营审计科一起完成对张家界晶悦酒店的租金结算及酒店后续的回收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firstLine="562"/>
        <w:jc w:val="both"/>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b/>
          <w:caps w:val="0"/>
          <w:color w:val="333333"/>
          <w:spacing w:val="0"/>
          <w:kern w:val="0"/>
          <w:sz w:val="32"/>
          <w:szCs w:val="32"/>
          <w:shd w:val="clear" w:color="auto" w:fill="FFFFFF"/>
          <w:lang w:val="en-US" w:eastAsia="zh-CN" w:bidi="ar"/>
        </w:rPr>
        <w:t>七、存在的主要问题及改进措施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firstLine="560"/>
        <w:jc w:val="both"/>
        <w:textAlignment w:val="auto"/>
        <w:rPr>
          <w:rFonts w:hint="eastAsia" w:asciiTheme="minorEastAsia" w:hAnsiTheme="minorEastAsia" w:eastAsiaTheme="minorEastAsia" w:cstheme="minorEastAsia"/>
          <w:caps w:val="0"/>
          <w:color w:val="auto"/>
          <w:spacing w:val="0"/>
          <w:kern w:val="0"/>
          <w:sz w:val="32"/>
          <w:szCs w:val="32"/>
          <w:shd w:val="clear" w:color="auto" w:fill="FFFFFF"/>
          <w:lang w:val="en-US" w:eastAsia="zh-CN" w:bidi="ar"/>
        </w:rPr>
      </w:pPr>
      <w:r>
        <w:rPr>
          <w:rFonts w:hint="eastAsia" w:asciiTheme="minorEastAsia" w:hAnsiTheme="minorEastAsia" w:eastAsiaTheme="minorEastAsia" w:cstheme="minorEastAsia"/>
          <w:caps w:val="0"/>
          <w:color w:val="auto"/>
          <w:spacing w:val="0"/>
          <w:kern w:val="0"/>
          <w:sz w:val="32"/>
          <w:szCs w:val="32"/>
          <w:shd w:val="clear" w:color="auto" w:fill="FFFFFF"/>
          <w:lang w:val="en-US" w:eastAsia="zh-CN" w:bidi="ar"/>
        </w:rPr>
        <w:t>1、科技和人才的支撑引领作用还不够强，特别是城市空间设计、生态环境修复、地理信息系统、数字化测量方面的专业要人才紧缺。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right="0"/>
        <w:jc w:val="both"/>
        <w:textAlignment w:val="auto"/>
        <w:rPr>
          <w:rFonts w:hint="eastAsia" w:asciiTheme="minorEastAsia" w:hAnsiTheme="minorEastAsia" w:eastAsiaTheme="minorEastAsia" w:cstheme="minorEastAsia"/>
          <w:caps w:val="0"/>
          <w:color w:val="auto"/>
          <w:spacing w:val="0"/>
          <w:kern w:val="0"/>
          <w:sz w:val="32"/>
          <w:szCs w:val="32"/>
          <w:shd w:val="clear" w:color="auto" w:fill="FFFFFF"/>
          <w:lang w:val="en-US" w:eastAsia="zh-CN" w:bidi="ar"/>
        </w:rPr>
      </w:pPr>
      <w:r>
        <w:rPr>
          <w:rFonts w:hint="eastAsia" w:asciiTheme="minorEastAsia" w:hAnsiTheme="minorEastAsia" w:eastAsiaTheme="minorEastAsia" w:cstheme="minorEastAsia"/>
          <w:caps w:val="0"/>
          <w:color w:val="auto"/>
          <w:spacing w:val="0"/>
          <w:kern w:val="0"/>
          <w:sz w:val="32"/>
          <w:szCs w:val="32"/>
          <w:shd w:val="clear" w:color="auto" w:fill="FFFFFF"/>
          <w:lang w:val="en-US" w:eastAsia="zh-CN" w:bidi="ar"/>
        </w:rPr>
        <w:t>建议加强城市空间设计、生态环境修复、地理信息系统、数字化测量等方向专业人才的引进。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560"/>
        <w:jc w:val="both"/>
        <w:textAlignment w:val="auto"/>
        <w:rPr>
          <w:rFonts w:hint="eastAsia" w:asciiTheme="minorEastAsia" w:hAnsiTheme="minorEastAsia" w:eastAsiaTheme="minorEastAsia" w:cstheme="minorEastAsia"/>
          <w:caps w:val="0"/>
          <w:color w:val="auto"/>
          <w:spacing w:val="0"/>
          <w:kern w:val="0"/>
          <w:sz w:val="32"/>
          <w:szCs w:val="32"/>
          <w:shd w:val="clear" w:color="auto" w:fill="FFFFFF"/>
          <w:lang w:val="en-US" w:eastAsia="zh-CN" w:bidi="ar"/>
        </w:rPr>
      </w:pPr>
      <w:r>
        <w:rPr>
          <w:rFonts w:hint="eastAsia" w:asciiTheme="minorEastAsia" w:hAnsiTheme="minorEastAsia" w:eastAsiaTheme="minorEastAsia" w:cstheme="minorEastAsia"/>
          <w:caps w:val="0"/>
          <w:color w:val="auto"/>
          <w:spacing w:val="0"/>
          <w:kern w:val="0"/>
          <w:sz w:val="32"/>
          <w:szCs w:val="32"/>
          <w:shd w:val="clear" w:color="auto" w:fill="FFFFFF"/>
          <w:lang w:val="en-US" w:eastAsia="zh-CN" w:bidi="ar"/>
        </w:rPr>
        <w:t>2、项目储备不够，尤其是地勘领域新项目不多，老基地存在的安全隐患依然不少。建议积极开拓地勘领域新项目，同时加强老基地安全隐患的排查。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560"/>
        <w:jc w:val="both"/>
        <w:textAlignment w:val="auto"/>
        <w:rPr>
          <w:rFonts w:hint="eastAsia" w:asciiTheme="minorEastAsia" w:hAnsiTheme="minorEastAsia" w:eastAsiaTheme="minorEastAsia" w:cstheme="minorEastAsia"/>
          <w:caps w:val="0"/>
          <w:color w:val="auto"/>
          <w:spacing w:val="0"/>
          <w:kern w:val="0"/>
          <w:sz w:val="32"/>
          <w:szCs w:val="32"/>
          <w:shd w:val="clear" w:color="auto" w:fill="FFFFFF"/>
          <w:lang w:val="en-US" w:eastAsia="zh-CN" w:bidi="ar"/>
        </w:rPr>
      </w:pPr>
      <w:r>
        <w:rPr>
          <w:rFonts w:hint="eastAsia" w:asciiTheme="minorEastAsia" w:hAnsiTheme="minorEastAsia" w:eastAsiaTheme="minorEastAsia" w:cstheme="minorEastAsia"/>
          <w:caps w:val="0"/>
          <w:color w:val="auto"/>
          <w:spacing w:val="0"/>
          <w:kern w:val="0"/>
          <w:sz w:val="32"/>
          <w:szCs w:val="32"/>
          <w:shd w:val="clear" w:color="auto" w:fill="FFFFFF"/>
          <w:lang w:val="en-US" w:eastAsia="zh-CN" w:bidi="ar"/>
        </w:rPr>
        <w:t>3、部分项目资金回收困难。建议加大已完项目欠款的回收力度。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562"/>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caps w:val="0"/>
          <w:color w:val="333333"/>
          <w:spacing w:val="0"/>
          <w:kern w:val="0"/>
          <w:sz w:val="32"/>
          <w:szCs w:val="32"/>
          <w:shd w:val="clear" w:color="auto" w:fill="FFFFFF"/>
          <w:lang w:val="en-US" w:eastAsia="zh-CN" w:bidi="ar"/>
        </w:rPr>
        <w:t>八、绩效自评结果拟应用和公开情况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560"/>
        <w:jc w:val="both"/>
        <w:textAlignment w:val="auto"/>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pP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2021年绩效评价自评材料由湖南省地质院统一汇总，在省财政厅统一网址公开挂网。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560"/>
        <w:jc w:val="both"/>
        <w:textAlignment w:val="auto"/>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pPr>
      <w:r>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firstLine="560"/>
        <w:jc w:val="both"/>
        <w:textAlignment w:val="auto"/>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jc w:val="both"/>
        <w:textAlignment w:val="auto"/>
        <w:rPr>
          <w:rFonts w:hint="eastAsia" w:asciiTheme="minorEastAsia" w:hAnsiTheme="minorEastAsia" w:eastAsiaTheme="minorEastAsia" w:cstheme="minorEastAsia"/>
          <w:caps w:val="0"/>
          <w:color w:val="333333"/>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aps w:val="0"/>
          <w:color w:val="auto"/>
          <w:spacing w:val="0"/>
          <w:kern w:val="0"/>
          <w:sz w:val="32"/>
          <w:szCs w:val="32"/>
          <w:shd w:val="clear" w:color="auto" w:fill="FFFFFF"/>
          <w:lang w:val="en-US" w:eastAsia="zh-CN" w:bidi="ar"/>
        </w:rPr>
        <w:t>附件：1、</w:t>
      </w:r>
      <w:r>
        <w:rPr>
          <w:rFonts w:hint="eastAsia" w:asciiTheme="minorEastAsia" w:hAnsiTheme="minorEastAsia" w:eastAsiaTheme="minorEastAsia" w:cstheme="minorEastAsia"/>
          <w:caps w:val="0"/>
          <w:color w:val="auto"/>
          <w:spacing w:val="0"/>
          <w:kern w:val="0"/>
          <w:sz w:val="32"/>
          <w:szCs w:val="32"/>
          <w:u w:val="none"/>
          <w:shd w:val="clear" w:color="auto" w:fill="FFFFFF"/>
          <w:lang w:val="en-US" w:eastAsia="zh-CN" w:bidi="ar"/>
        </w:rPr>
        <w:fldChar w:fldCharType="begin"/>
      </w:r>
      <w:r>
        <w:rPr>
          <w:rFonts w:hint="eastAsia" w:asciiTheme="minorEastAsia" w:hAnsiTheme="minorEastAsia" w:eastAsiaTheme="minorEastAsia" w:cstheme="minorEastAsia"/>
          <w:caps w:val="0"/>
          <w:color w:val="auto"/>
          <w:spacing w:val="0"/>
          <w:kern w:val="0"/>
          <w:sz w:val="32"/>
          <w:szCs w:val="32"/>
          <w:u w:val="none"/>
          <w:shd w:val="clear" w:color="auto" w:fill="FFFFFF"/>
          <w:lang w:val="en-US" w:eastAsia="zh-CN" w:bidi="ar"/>
        </w:rPr>
        <w:instrText xml:space="preserve"> HYPERLINK "http://hndk.hunan.gov.cn//c100643/c100646/202006/12322215/files/91d9cac0865a498896b17dbdd5b2457d.xlsx" \t "http://hndk.hunan.gov.cn//c100643/c100646/202006/_blank" </w:instrText>
      </w:r>
      <w:r>
        <w:rPr>
          <w:rFonts w:hint="eastAsia" w:asciiTheme="minorEastAsia" w:hAnsiTheme="minorEastAsia" w:eastAsiaTheme="minorEastAsia" w:cstheme="minorEastAsia"/>
          <w:caps w:val="0"/>
          <w:color w:val="auto"/>
          <w:spacing w:val="0"/>
          <w:kern w:val="0"/>
          <w:sz w:val="32"/>
          <w:szCs w:val="32"/>
          <w:u w:val="none"/>
          <w:shd w:val="clear" w:color="auto" w:fill="FFFFFF"/>
          <w:lang w:val="en-US" w:eastAsia="zh-CN" w:bidi="ar"/>
        </w:rPr>
        <w:fldChar w:fldCharType="separate"/>
      </w:r>
      <w:r>
        <w:rPr>
          <w:rStyle w:val="7"/>
          <w:rFonts w:hint="eastAsia" w:asciiTheme="minorEastAsia" w:hAnsiTheme="minorEastAsia" w:eastAsiaTheme="minorEastAsia" w:cstheme="minorEastAsia"/>
          <w:caps w:val="0"/>
          <w:color w:val="auto"/>
          <w:spacing w:val="0"/>
          <w:sz w:val="32"/>
          <w:szCs w:val="32"/>
          <w:u w:val="none"/>
          <w:shd w:val="clear" w:color="auto" w:fill="FFFFFF"/>
        </w:rPr>
        <w:t>20</w:t>
      </w:r>
      <w:r>
        <w:rPr>
          <w:rStyle w:val="7"/>
          <w:rFonts w:hint="eastAsia" w:asciiTheme="minorEastAsia" w:hAnsiTheme="minorEastAsia" w:eastAsiaTheme="minorEastAsia" w:cstheme="minorEastAsia"/>
          <w:caps w:val="0"/>
          <w:color w:val="auto"/>
          <w:spacing w:val="0"/>
          <w:sz w:val="32"/>
          <w:szCs w:val="32"/>
          <w:u w:val="none"/>
          <w:shd w:val="clear" w:color="auto" w:fill="FFFFFF"/>
          <w:lang w:val="en-US" w:eastAsia="zh-CN"/>
        </w:rPr>
        <w:t>21</w:t>
      </w:r>
      <w:r>
        <w:rPr>
          <w:rStyle w:val="7"/>
          <w:rFonts w:hint="eastAsia" w:asciiTheme="minorEastAsia" w:hAnsiTheme="minorEastAsia" w:eastAsiaTheme="minorEastAsia" w:cstheme="minorEastAsia"/>
          <w:caps w:val="0"/>
          <w:color w:val="auto"/>
          <w:spacing w:val="0"/>
          <w:sz w:val="32"/>
          <w:szCs w:val="32"/>
          <w:u w:val="none"/>
          <w:shd w:val="clear" w:color="auto" w:fill="FFFFFF"/>
        </w:rPr>
        <w:t>年度部门整体支出绩效评价基础数据表</w:t>
      </w:r>
      <w:r>
        <w:rPr>
          <w:rFonts w:hint="eastAsia" w:asciiTheme="minorEastAsia" w:hAnsiTheme="minorEastAsia" w:eastAsiaTheme="minorEastAsia" w:cstheme="minorEastAsia"/>
          <w:caps w:val="0"/>
          <w:color w:val="auto"/>
          <w:spacing w:val="0"/>
          <w:kern w:val="0"/>
          <w:sz w:val="32"/>
          <w:szCs w:val="32"/>
          <w:u w:val="none"/>
          <w:shd w:val="clear" w:color="auto" w:fill="FFFFFF"/>
          <w:lang w:val="en-US" w:eastAsia="zh-CN" w:bidi="ar"/>
        </w:rPr>
        <w:fldChar w:fldCharType="end"/>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rightChars="0" w:firstLine="1600" w:firstLineChars="500"/>
        <w:jc w:val="both"/>
        <w:textAlignment w:val="auto"/>
        <w:rPr>
          <w:rFonts w:hint="eastAsia" w:asciiTheme="minorEastAsia" w:hAnsiTheme="minorEastAsia" w:eastAsiaTheme="minorEastAsia" w:cstheme="minorEastAsia"/>
          <w:caps w:val="0"/>
          <w:color w:val="333333"/>
          <w:spacing w:val="0"/>
          <w:kern w:val="0"/>
          <w:sz w:val="32"/>
          <w:szCs w:val="32"/>
          <w:u w:val="none"/>
          <w:shd w:val="clear" w:color="auto" w:fill="FFFFFF"/>
          <w:lang w:val="en-US" w:eastAsia="zh-CN" w:bidi="ar"/>
        </w:rPr>
      </w:pPr>
      <w:r>
        <w:rPr>
          <w:rFonts w:hint="eastAsia" w:asciiTheme="minorEastAsia" w:hAnsiTheme="minorEastAsia" w:cstheme="minorEastAsia"/>
          <w:caps w:val="0"/>
          <w:color w:val="333333"/>
          <w:spacing w:val="0"/>
          <w:kern w:val="0"/>
          <w:sz w:val="32"/>
          <w:szCs w:val="32"/>
          <w:u w:val="none"/>
          <w:shd w:val="clear" w:color="auto" w:fill="FFFFFF"/>
          <w:lang w:val="en-US" w:eastAsia="zh-CN" w:bidi="ar"/>
        </w:rPr>
        <w:t>2、</w:t>
      </w:r>
      <w:r>
        <w:rPr>
          <w:rFonts w:hint="eastAsia" w:asciiTheme="minorEastAsia" w:hAnsiTheme="minorEastAsia" w:eastAsiaTheme="minorEastAsia" w:cstheme="minorEastAsia"/>
          <w:caps w:val="0"/>
          <w:color w:val="333333"/>
          <w:spacing w:val="0"/>
          <w:kern w:val="0"/>
          <w:sz w:val="32"/>
          <w:szCs w:val="32"/>
          <w:u w:val="none"/>
          <w:shd w:val="clear" w:color="auto" w:fill="FFFFFF"/>
          <w:lang w:val="en-US" w:eastAsia="zh-CN" w:bidi="ar"/>
        </w:rPr>
        <w:fldChar w:fldCharType="begin"/>
      </w:r>
      <w:r>
        <w:rPr>
          <w:rFonts w:hint="eastAsia" w:asciiTheme="minorEastAsia" w:hAnsiTheme="minorEastAsia" w:eastAsiaTheme="minorEastAsia" w:cstheme="minorEastAsia"/>
          <w:caps w:val="0"/>
          <w:color w:val="333333"/>
          <w:spacing w:val="0"/>
          <w:kern w:val="0"/>
          <w:sz w:val="32"/>
          <w:szCs w:val="32"/>
          <w:u w:val="none"/>
          <w:shd w:val="clear" w:color="auto" w:fill="FFFFFF"/>
          <w:lang w:val="en-US" w:eastAsia="zh-CN" w:bidi="ar"/>
        </w:rPr>
        <w:instrText xml:space="preserve"> HYPERLINK "http://hndk.hunan.gov.cn//c100643/c100646/202006/12322215/files/e74762b26e144d6bae51730e3c022213.xlsx" \t "http://hndk.hunan.gov.cn//c100643/c100646/202006/_blank" </w:instrText>
      </w:r>
      <w:r>
        <w:rPr>
          <w:rFonts w:hint="eastAsia" w:asciiTheme="minorEastAsia" w:hAnsiTheme="minorEastAsia" w:eastAsiaTheme="minorEastAsia" w:cstheme="minorEastAsia"/>
          <w:caps w:val="0"/>
          <w:color w:val="333333"/>
          <w:spacing w:val="0"/>
          <w:kern w:val="0"/>
          <w:sz w:val="32"/>
          <w:szCs w:val="32"/>
          <w:u w:val="none"/>
          <w:shd w:val="clear" w:color="auto" w:fill="FFFFFF"/>
          <w:lang w:val="en-US" w:eastAsia="zh-CN" w:bidi="ar"/>
        </w:rPr>
        <w:fldChar w:fldCharType="separate"/>
      </w:r>
      <w:r>
        <w:rPr>
          <w:rStyle w:val="7"/>
          <w:rFonts w:hint="eastAsia" w:asciiTheme="minorEastAsia" w:hAnsiTheme="minorEastAsia" w:eastAsiaTheme="minorEastAsia" w:cstheme="minorEastAsia"/>
          <w:caps w:val="0"/>
          <w:color w:val="333333"/>
          <w:spacing w:val="0"/>
          <w:sz w:val="32"/>
          <w:szCs w:val="32"/>
          <w:u w:val="none"/>
          <w:shd w:val="clear" w:color="auto" w:fill="FFFFFF"/>
        </w:rPr>
        <w:t>20</w:t>
      </w:r>
      <w:r>
        <w:rPr>
          <w:rStyle w:val="7"/>
          <w:rFonts w:hint="eastAsia" w:asciiTheme="minorEastAsia" w:hAnsiTheme="minorEastAsia" w:eastAsiaTheme="minorEastAsia" w:cstheme="minorEastAsia"/>
          <w:caps w:val="0"/>
          <w:color w:val="333333"/>
          <w:spacing w:val="0"/>
          <w:sz w:val="32"/>
          <w:szCs w:val="32"/>
          <w:u w:val="none"/>
          <w:shd w:val="clear" w:color="auto" w:fill="FFFFFF"/>
          <w:lang w:val="en-US" w:eastAsia="zh-CN"/>
        </w:rPr>
        <w:t>21</w:t>
      </w:r>
      <w:r>
        <w:rPr>
          <w:rStyle w:val="7"/>
          <w:rFonts w:hint="eastAsia" w:asciiTheme="minorEastAsia" w:hAnsiTheme="minorEastAsia" w:eastAsiaTheme="minorEastAsia" w:cstheme="minorEastAsia"/>
          <w:caps w:val="0"/>
          <w:color w:val="333333"/>
          <w:spacing w:val="0"/>
          <w:sz w:val="32"/>
          <w:szCs w:val="32"/>
          <w:u w:val="none"/>
          <w:shd w:val="clear" w:color="auto" w:fill="FFFFFF"/>
        </w:rPr>
        <w:t>年度部门整体支出绩效自评表</w:t>
      </w:r>
      <w:r>
        <w:rPr>
          <w:rFonts w:hint="eastAsia" w:asciiTheme="minorEastAsia" w:hAnsiTheme="minorEastAsia" w:eastAsiaTheme="minorEastAsia" w:cstheme="minorEastAsia"/>
          <w:caps w:val="0"/>
          <w:color w:val="333333"/>
          <w:spacing w:val="0"/>
          <w:kern w:val="0"/>
          <w:sz w:val="32"/>
          <w:szCs w:val="32"/>
          <w:u w:val="none"/>
          <w:shd w:val="clear" w:color="auto" w:fill="FFFFFF"/>
          <w:lang w:val="en-US" w:eastAsia="zh-CN" w:bidi="ar"/>
        </w:rPr>
        <w:fldChar w:fldCharType="end"/>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rightChars="0" w:firstLine="1600" w:firstLineChars="500"/>
        <w:jc w:val="both"/>
        <w:textAlignment w:val="auto"/>
        <w:rPr>
          <w:rFonts w:hint="eastAsia" w:asciiTheme="minorEastAsia" w:hAnsiTheme="minorEastAsia" w:eastAsiaTheme="minorEastAsia" w:cstheme="minorEastAsia"/>
          <w:caps w:val="0"/>
          <w:color w:val="333333"/>
          <w:spacing w:val="0"/>
          <w:kern w:val="0"/>
          <w:sz w:val="32"/>
          <w:szCs w:val="32"/>
          <w:u w:val="none"/>
          <w:shd w:val="clear" w:color="auto" w:fill="FFFFFF"/>
          <w:lang w:val="en-US" w:eastAsia="zh-CN" w:bidi="ar"/>
        </w:rPr>
      </w:pPr>
      <w:r>
        <w:rPr>
          <w:rFonts w:hint="eastAsia" w:asciiTheme="minorEastAsia" w:hAnsiTheme="minorEastAsia" w:cstheme="minorEastAsia"/>
          <w:caps w:val="0"/>
          <w:color w:val="333333"/>
          <w:spacing w:val="0"/>
          <w:kern w:val="0"/>
          <w:sz w:val="32"/>
          <w:szCs w:val="32"/>
          <w:u w:val="none"/>
          <w:shd w:val="clear" w:color="auto" w:fill="FFFFFF"/>
          <w:lang w:val="en-US" w:eastAsia="zh-CN" w:bidi="ar"/>
        </w:rPr>
        <w:t>3、</w:t>
      </w:r>
      <w:r>
        <w:rPr>
          <w:rFonts w:hint="eastAsia" w:asciiTheme="minorEastAsia" w:hAnsiTheme="minorEastAsia" w:eastAsiaTheme="minorEastAsia" w:cstheme="minorEastAsia"/>
          <w:caps w:val="0"/>
          <w:color w:val="333333"/>
          <w:spacing w:val="0"/>
          <w:kern w:val="0"/>
          <w:sz w:val="32"/>
          <w:szCs w:val="32"/>
          <w:u w:val="none"/>
          <w:shd w:val="clear" w:color="auto" w:fill="FFFFFF"/>
          <w:lang w:val="en-US" w:eastAsia="zh-CN" w:bidi="ar"/>
        </w:rPr>
        <w:t>2021年度项目支出绩效自评表</w:t>
      </w:r>
    </w:p>
    <w:p>
      <w:pPr>
        <w:ind w:firstLine="420" w:firstLineChars="200"/>
        <w:jc w:val="center"/>
      </w:pPr>
      <w:r>
        <w:drawing>
          <wp:inline distT="0" distB="0" distL="114300" distR="114300">
            <wp:extent cx="6264275" cy="9359900"/>
            <wp:effectExtent l="0" t="0" r="14605" b="1270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0"/>
                    <a:stretch>
                      <a:fillRect/>
                    </a:stretch>
                  </pic:blipFill>
                  <pic:spPr>
                    <a:xfrm>
                      <a:off x="0" y="0"/>
                      <a:ext cx="6264275" cy="9359900"/>
                    </a:xfrm>
                    <a:prstGeom prst="rect">
                      <a:avLst/>
                    </a:prstGeom>
                    <a:noFill/>
                    <a:ln>
                      <a:noFill/>
                    </a:ln>
                  </pic:spPr>
                </pic:pic>
              </a:graphicData>
            </a:graphic>
          </wp:inline>
        </w:drawing>
      </w:r>
    </w:p>
    <w:p>
      <w:pPr>
        <w:ind w:firstLine="420" w:firstLineChars="200"/>
        <w:jc w:val="center"/>
      </w:pPr>
    </w:p>
    <w:p>
      <w:pPr>
        <w:ind w:firstLine="420" w:firstLineChars="200"/>
        <w:jc w:val="center"/>
      </w:pPr>
      <w:r>
        <w:drawing>
          <wp:inline distT="0" distB="0" distL="114300" distR="114300">
            <wp:extent cx="6264275" cy="9359900"/>
            <wp:effectExtent l="0" t="0" r="14605" b="1270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1"/>
                    <a:stretch>
                      <a:fillRect/>
                    </a:stretch>
                  </pic:blipFill>
                  <pic:spPr>
                    <a:xfrm>
                      <a:off x="0" y="0"/>
                      <a:ext cx="6264275" cy="9359900"/>
                    </a:xfrm>
                    <a:prstGeom prst="rect">
                      <a:avLst/>
                    </a:prstGeom>
                    <a:noFill/>
                    <a:ln>
                      <a:noFill/>
                    </a:ln>
                  </pic:spPr>
                </pic:pic>
              </a:graphicData>
            </a:graphic>
          </wp:inline>
        </w:drawing>
      </w:r>
    </w:p>
    <w:p>
      <w:pPr>
        <w:ind w:firstLine="420" w:firstLineChars="200"/>
        <w:jc w:val="center"/>
      </w:pPr>
      <w:r>
        <w:drawing>
          <wp:inline distT="0" distB="0" distL="114300" distR="114300">
            <wp:extent cx="6264275" cy="9359900"/>
            <wp:effectExtent l="0" t="0" r="14605" b="12700"/>
            <wp:docPr id="11" name="图片 5"/>
            <wp:cNvGraphicFramePr/>
            <a:graphic xmlns:a="http://schemas.openxmlformats.org/drawingml/2006/main">
              <a:graphicData uri="http://schemas.openxmlformats.org/drawingml/2006/picture">
                <pic:pic xmlns:pic="http://schemas.openxmlformats.org/drawingml/2006/picture">
                  <pic:nvPicPr>
                    <pic:cNvPr id="11" name="图片 5"/>
                    <pic:cNvPicPr/>
                  </pic:nvPicPr>
                  <pic:blipFill>
                    <a:blip r:embed="rId12"/>
                    <a:stretch>
                      <a:fillRect/>
                    </a:stretch>
                  </pic:blipFill>
                  <pic:spPr>
                    <a:xfrm>
                      <a:off x="0" y="0"/>
                      <a:ext cx="6264275" cy="9359900"/>
                    </a:xfrm>
                    <a:prstGeom prst="rect">
                      <a:avLst/>
                    </a:prstGeom>
                    <a:noFill/>
                    <a:ln>
                      <a:noFill/>
                    </a:ln>
                  </pic:spPr>
                </pic:pic>
              </a:graphicData>
            </a:graphic>
          </wp:inline>
        </w:drawing>
      </w:r>
    </w:p>
    <w:p>
      <w:pPr>
        <w:ind w:firstLine="420" w:firstLineChars="200"/>
        <w:jc w:val="center"/>
      </w:pPr>
      <w:r>
        <w:drawing>
          <wp:inline distT="0" distB="0" distL="114300" distR="114300">
            <wp:extent cx="6264275" cy="9359900"/>
            <wp:effectExtent l="0" t="0" r="14605" b="12700"/>
            <wp:docPr id="12" name="图片 6"/>
            <wp:cNvGraphicFramePr/>
            <a:graphic xmlns:a="http://schemas.openxmlformats.org/drawingml/2006/main">
              <a:graphicData uri="http://schemas.openxmlformats.org/drawingml/2006/picture">
                <pic:pic xmlns:pic="http://schemas.openxmlformats.org/drawingml/2006/picture">
                  <pic:nvPicPr>
                    <pic:cNvPr id="12" name="图片 6"/>
                    <pic:cNvPicPr/>
                  </pic:nvPicPr>
                  <pic:blipFill>
                    <a:blip r:embed="rId13"/>
                    <a:stretch>
                      <a:fillRect/>
                    </a:stretch>
                  </pic:blipFill>
                  <pic:spPr>
                    <a:xfrm>
                      <a:off x="0" y="0"/>
                      <a:ext cx="6264275" cy="9359900"/>
                    </a:xfrm>
                    <a:prstGeom prst="rect">
                      <a:avLst/>
                    </a:prstGeom>
                    <a:noFill/>
                    <a:ln>
                      <a:noFill/>
                    </a:ln>
                  </pic:spPr>
                </pic:pic>
              </a:graphicData>
            </a:graphic>
          </wp:inline>
        </w:drawing>
      </w:r>
    </w:p>
    <w:p>
      <w:pPr>
        <w:ind w:firstLine="420" w:firstLineChars="200"/>
        <w:jc w:val="center"/>
      </w:pPr>
      <w:r>
        <w:drawing>
          <wp:inline distT="0" distB="0" distL="114300" distR="114300">
            <wp:extent cx="6264275" cy="9359900"/>
            <wp:effectExtent l="0" t="0" r="14605" b="12700"/>
            <wp:docPr id="14" name="图片 7"/>
            <wp:cNvGraphicFramePr/>
            <a:graphic xmlns:a="http://schemas.openxmlformats.org/drawingml/2006/main">
              <a:graphicData uri="http://schemas.openxmlformats.org/drawingml/2006/picture">
                <pic:pic xmlns:pic="http://schemas.openxmlformats.org/drawingml/2006/picture">
                  <pic:nvPicPr>
                    <pic:cNvPr id="14" name="图片 7"/>
                    <pic:cNvPicPr/>
                  </pic:nvPicPr>
                  <pic:blipFill>
                    <a:blip r:embed="rId14"/>
                    <a:stretch>
                      <a:fillRect/>
                    </a:stretch>
                  </pic:blipFill>
                  <pic:spPr>
                    <a:xfrm>
                      <a:off x="0" y="0"/>
                      <a:ext cx="6264275" cy="9359900"/>
                    </a:xfrm>
                    <a:prstGeom prst="rect">
                      <a:avLst/>
                    </a:prstGeom>
                    <a:noFill/>
                    <a:ln>
                      <a:noFill/>
                    </a:ln>
                  </pic:spPr>
                </pic:pic>
              </a:graphicData>
            </a:graphic>
          </wp:inline>
        </w:drawing>
      </w:r>
    </w:p>
    <w:p>
      <w:pPr>
        <w:ind w:firstLine="420" w:firstLineChars="200"/>
        <w:jc w:val="center"/>
        <w:rPr>
          <w:rFonts w:hint="eastAsia"/>
        </w:rPr>
      </w:pPr>
      <w:r>
        <w:drawing>
          <wp:inline distT="0" distB="0" distL="114300" distR="114300">
            <wp:extent cx="6264275" cy="9359900"/>
            <wp:effectExtent l="0" t="0" r="14605" b="12700"/>
            <wp:docPr id="17" name="图片 8"/>
            <wp:cNvGraphicFramePr/>
            <a:graphic xmlns:a="http://schemas.openxmlformats.org/drawingml/2006/main">
              <a:graphicData uri="http://schemas.openxmlformats.org/drawingml/2006/picture">
                <pic:pic xmlns:pic="http://schemas.openxmlformats.org/drawingml/2006/picture">
                  <pic:nvPicPr>
                    <pic:cNvPr id="17" name="图片 8"/>
                    <pic:cNvPicPr/>
                  </pic:nvPicPr>
                  <pic:blipFill>
                    <a:blip r:embed="rId15"/>
                    <a:stretch>
                      <a:fillRect/>
                    </a:stretch>
                  </pic:blipFill>
                  <pic:spPr>
                    <a:xfrm>
                      <a:off x="0" y="0"/>
                      <a:ext cx="6264275" cy="9359900"/>
                    </a:xfrm>
                    <a:prstGeom prst="rect">
                      <a:avLst/>
                    </a:prstGeom>
                    <a:noFill/>
                    <a:ln>
                      <a:noFill/>
                    </a:ln>
                  </pic:spPr>
                </pic:pic>
              </a:graphicData>
            </a:graphic>
          </wp:inline>
        </w:drawing>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C4AA5BF"/>
    <w:multiLevelType w:val="singleLevel"/>
    <w:tmpl w:val="3C4AA5BF"/>
    <w:lvl w:ilvl="0" w:tentative="0">
      <w:start w:val="4"/>
      <w:numFmt w:val="chineseCounting"/>
      <w:suff w:val="nothing"/>
      <w:lvlText w:val="%1、"/>
      <w:lvlJc w:val="left"/>
      <w:rPr>
        <w:rFonts w:hint="eastAsia"/>
      </w:rPr>
    </w:lvl>
  </w:abstractNum>
  <w:abstractNum w:abstractNumId="2">
    <w:nsid w:val="4F74B8C7"/>
    <w:multiLevelType w:val="singleLevel"/>
    <w:tmpl w:val="4F74B8C7"/>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5YTI1YTAwNDBhOWJmNGEwYzJhYWEyNThjZjkwMjk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374E54"/>
    <w:rsid w:val="01753A01"/>
    <w:rsid w:val="01A259AB"/>
    <w:rsid w:val="03F759AF"/>
    <w:rsid w:val="06072158"/>
    <w:rsid w:val="06E6028D"/>
    <w:rsid w:val="073F52DF"/>
    <w:rsid w:val="08384945"/>
    <w:rsid w:val="091F3DA6"/>
    <w:rsid w:val="097C1F9D"/>
    <w:rsid w:val="09866397"/>
    <w:rsid w:val="09D32E23"/>
    <w:rsid w:val="0A012350"/>
    <w:rsid w:val="0A3545BB"/>
    <w:rsid w:val="0A7E11D6"/>
    <w:rsid w:val="0AF22E06"/>
    <w:rsid w:val="0B370D6B"/>
    <w:rsid w:val="0BA56CE6"/>
    <w:rsid w:val="0C1E4963"/>
    <w:rsid w:val="0C8F3546"/>
    <w:rsid w:val="0D101300"/>
    <w:rsid w:val="0D377C92"/>
    <w:rsid w:val="0F782FAC"/>
    <w:rsid w:val="106C0E71"/>
    <w:rsid w:val="10717042"/>
    <w:rsid w:val="10D86EA6"/>
    <w:rsid w:val="11965BC6"/>
    <w:rsid w:val="12AD35ED"/>
    <w:rsid w:val="12BA021D"/>
    <w:rsid w:val="12FB03D7"/>
    <w:rsid w:val="144B48F2"/>
    <w:rsid w:val="14DF0BF0"/>
    <w:rsid w:val="15F21832"/>
    <w:rsid w:val="1D28389F"/>
    <w:rsid w:val="1D43655F"/>
    <w:rsid w:val="1DAA4AF5"/>
    <w:rsid w:val="1E62130A"/>
    <w:rsid w:val="1E777D02"/>
    <w:rsid w:val="207C5486"/>
    <w:rsid w:val="21CF0BCB"/>
    <w:rsid w:val="22BF31CF"/>
    <w:rsid w:val="250C107F"/>
    <w:rsid w:val="25B23279"/>
    <w:rsid w:val="27973FC9"/>
    <w:rsid w:val="284B3419"/>
    <w:rsid w:val="2A5012A5"/>
    <w:rsid w:val="2C1A15AD"/>
    <w:rsid w:val="2C7072E8"/>
    <w:rsid w:val="2C9C1E8B"/>
    <w:rsid w:val="2D6F40E7"/>
    <w:rsid w:val="2DCF6303"/>
    <w:rsid w:val="2E12184A"/>
    <w:rsid w:val="2F200B5B"/>
    <w:rsid w:val="2FBB4D1E"/>
    <w:rsid w:val="30C45E54"/>
    <w:rsid w:val="310E0E7D"/>
    <w:rsid w:val="32B93FE3"/>
    <w:rsid w:val="348F1BDE"/>
    <w:rsid w:val="353A6ABF"/>
    <w:rsid w:val="35D02BA5"/>
    <w:rsid w:val="36252EF1"/>
    <w:rsid w:val="3A873E04"/>
    <w:rsid w:val="3B524765"/>
    <w:rsid w:val="3BE15B0C"/>
    <w:rsid w:val="3BE9676F"/>
    <w:rsid w:val="3BFC4E0F"/>
    <w:rsid w:val="3D604434"/>
    <w:rsid w:val="402C53E6"/>
    <w:rsid w:val="41B55C4C"/>
    <w:rsid w:val="41F67E38"/>
    <w:rsid w:val="423B3A9C"/>
    <w:rsid w:val="43C34E57"/>
    <w:rsid w:val="44DD3822"/>
    <w:rsid w:val="4A2D513D"/>
    <w:rsid w:val="4AFD5D93"/>
    <w:rsid w:val="4B425E9C"/>
    <w:rsid w:val="4C7E7EA3"/>
    <w:rsid w:val="4D176A35"/>
    <w:rsid w:val="4DC87FA4"/>
    <w:rsid w:val="4EF11FDE"/>
    <w:rsid w:val="50430199"/>
    <w:rsid w:val="50F70A70"/>
    <w:rsid w:val="512739F2"/>
    <w:rsid w:val="53F661B6"/>
    <w:rsid w:val="545F04D6"/>
    <w:rsid w:val="54CD684F"/>
    <w:rsid w:val="55A8485A"/>
    <w:rsid w:val="55C26CA2"/>
    <w:rsid w:val="567B2A34"/>
    <w:rsid w:val="573E7E5F"/>
    <w:rsid w:val="5A5359CF"/>
    <w:rsid w:val="5BAF1477"/>
    <w:rsid w:val="5C9D4C23"/>
    <w:rsid w:val="5F3F080D"/>
    <w:rsid w:val="5F433CBA"/>
    <w:rsid w:val="609D0E57"/>
    <w:rsid w:val="61E014BE"/>
    <w:rsid w:val="622158D4"/>
    <w:rsid w:val="633D0529"/>
    <w:rsid w:val="64930CCF"/>
    <w:rsid w:val="6554602F"/>
    <w:rsid w:val="673C65E4"/>
    <w:rsid w:val="68732FD6"/>
    <w:rsid w:val="68A24735"/>
    <w:rsid w:val="690066C1"/>
    <w:rsid w:val="69A07E1B"/>
    <w:rsid w:val="69FA08E9"/>
    <w:rsid w:val="6A2316BB"/>
    <w:rsid w:val="6A9A7807"/>
    <w:rsid w:val="6AAA6725"/>
    <w:rsid w:val="6AAE1B5E"/>
    <w:rsid w:val="6B567508"/>
    <w:rsid w:val="6B862622"/>
    <w:rsid w:val="6CC36EF0"/>
    <w:rsid w:val="6CCA56CA"/>
    <w:rsid w:val="6D600D99"/>
    <w:rsid w:val="6E791F84"/>
    <w:rsid w:val="6EE80984"/>
    <w:rsid w:val="6FD062CE"/>
    <w:rsid w:val="706E6C67"/>
    <w:rsid w:val="71CA6E80"/>
    <w:rsid w:val="736C2216"/>
    <w:rsid w:val="741F792D"/>
    <w:rsid w:val="761751CE"/>
    <w:rsid w:val="762719A9"/>
    <w:rsid w:val="7675154F"/>
    <w:rsid w:val="768C01E9"/>
    <w:rsid w:val="76F95639"/>
    <w:rsid w:val="773177A6"/>
    <w:rsid w:val="775766A7"/>
    <w:rsid w:val="77D97CE0"/>
    <w:rsid w:val="79605929"/>
    <w:rsid w:val="79B002F1"/>
    <w:rsid w:val="7A5F268B"/>
    <w:rsid w:val="7C103C5F"/>
    <w:rsid w:val="7C142E89"/>
    <w:rsid w:val="7F525077"/>
    <w:rsid w:val="FFF3A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9907</Words>
  <Characters>11365</Characters>
  <Lines>69</Lines>
  <Paragraphs>19</Paragraphs>
  <TotalTime>0</TotalTime>
  <ScaleCrop>false</ScaleCrop>
  <LinksUpToDate>false</LinksUpToDate>
  <CharactersWithSpaces>12122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2020-07-02T18:32:00Z</dcterms:created>
  <dc:creator>李航 null</dc:creator>
  <cp:lastModifiedBy>kx</cp:lastModifiedBy>
  <cp:lastPrinted>2022-07-28T04:55:00Z</cp:lastPrinted>
  <dcterms:modified xsi:type="dcterms:W3CDTF">2023-09-26T17:36:29Z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A86B9358A7D84FC9A865BCEC54A319A3</vt:lpwstr>
  </property>
</Properties>
</file>