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6C13B">
      <w:pPr>
        <w:pStyle w:val="9"/>
        <w:jc w:val="center"/>
        <w:rPr>
          <w:rFonts w:hint="eastAsia"/>
          <w:sz w:val="56"/>
          <w:szCs w:val="56"/>
        </w:rPr>
      </w:pPr>
    </w:p>
    <w:p w14:paraId="0E52ED71">
      <w:pPr>
        <w:pStyle w:val="9"/>
        <w:jc w:val="center"/>
        <w:rPr>
          <w:sz w:val="56"/>
          <w:szCs w:val="56"/>
        </w:rPr>
      </w:pPr>
    </w:p>
    <w:p w14:paraId="751FD0EF">
      <w:pPr>
        <w:pStyle w:val="9"/>
        <w:jc w:val="center"/>
        <w:rPr>
          <w:rFonts w:hint="eastAsia"/>
          <w:sz w:val="56"/>
          <w:szCs w:val="56"/>
        </w:rPr>
      </w:pPr>
    </w:p>
    <w:p w14:paraId="3CE2638F">
      <w:pPr>
        <w:pStyle w:val="9"/>
        <w:jc w:val="center"/>
        <w:rPr>
          <w:sz w:val="84"/>
          <w:szCs w:val="84"/>
        </w:rPr>
      </w:pPr>
    </w:p>
    <w:p w14:paraId="49A6DC0C">
      <w:pPr>
        <w:pStyle w:val="9"/>
        <w:jc w:val="center"/>
        <w:rPr>
          <w:sz w:val="84"/>
          <w:szCs w:val="84"/>
        </w:rPr>
      </w:pPr>
    </w:p>
    <w:p w14:paraId="197F3C12">
      <w:pPr>
        <w:pStyle w:val="9"/>
        <w:jc w:val="center"/>
        <w:rPr>
          <w:sz w:val="84"/>
          <w:szCs w:val="84"/>
        </w:rPr>
      </w:pPr>
      <w:r>
        <w:rPr>
          <w:rFonts w:hint="eastAsia"/>
          <w:sz w:val="84"/>
          <w:szCs w:val="84"/>
        </w:rPr>
        <w:t>2021年度</w:t>
      </w:r>
    </w:p>
    <w:p w14:paraId="2E94D326">
      <w:pPr>
        <w:pStyle w:val="9"/>
        <w:jc w:val="center"/>
        <w:rPr>
          <w:sz w:val="84"/>
          <w:szCs w:val="84"/>
        </w:rPr>
      </w:pPr>
      <w:r>
        <w:rPr>
          <w:rFonts w:hint="eastAsia"/>
          <w:sz w:val="84"/>
          <w:szCs w:val="84"/>
        </w:rPr>
        <w:t>湖南省地质矿产勘查开发局四〇二队部门决算</w:t>
      </w:r>
    </w:p>
    <w:p w14:paraId="55F37956">
      <w:pPr>
        <w:pStyle w:val="9"/>
        <w:jc w:val="center"/>
        <w:rPr>
          <w:sz w:val="56"/>
          <w:szCs w:val="56"/>
        </w:rPr>
      </w:pPr>
    </w:p>
    <w:p w14:paraId="3F267795">
      <w:pPr>
        <w:pStyle w:val="9"/>
        <w:jc w:val="center"/>
        <w:rPr>
          <w:sz w:val="56"/>
          <w:szCs w:val="56"/>
        </w:rPr>
      </w:pPr>
    </w:p>
    <w:p w14:paraId="47925EE0">
      <w:pPr>
        <w:pStyle w:val="9"/>
        <w:jc w:val="center"/>
        <w:rPr>
          <w:sz w:val="56"/>
          <w:szCs w:val="56"/>
        </w:rPr>
      </w:pPr>
    </w:p>
    <w:p w14:paraId="34198907">
      <w:pPr>
        <w:pStyle w:val="9"/>
        <w:jc w:val="center"/>
        <w:rPr>
          <w:sz w:val="56"/>
          <w:szCs w:val="56"/>
        </w:rPr>
      </w:pPr>
    </w:p>
    <w:p w14:paraId="6F51801A">
      <w:pPr>
        <w:pStyle w:val="9"/>
        <w:jc w:val="center"/>
        <w:rPr>
          <w:sz w:val="32"/>
          <w:szCs w:val="32"/>
        </w:rPr>
      </w:pPr>
    </w:p>
    <w:p w14:paraId="7CD1F1D0">
      <w:pPr>
        <w:pStyle w:val="9"/>
        <w:jc w:val="center"/>
        <w:rPr>
          <w:sz w:val="32"/>
          <w:szCs w:val="32"/>
        </w:rPr>
      </w:pPr>
    </w:p>
    <w:p w14:paraId="61EF3021">
      <w:pPr>
        <w:pStyle w:val="9"/>
        <w:jc w:val="center"/>
        <w:rPr>
          <w:sz w:val="32"/>
          <w:szCs w:val="32"/>
        </w:rPr>
      </w:pPr>
    </w:p>
    <w:p w14:paraId="36441E4B">
      <w:pPr>
        <w:pStyle w:val="9"/>
        <w:jc w:val="center"/>
        <w:rPr>
          <w:sz w:val="32"/>
          <w:szCs w:val="32"/>
        </w:rPr>
      </w:pPr>
    </w:p>
    <w:p w14:paraId="7F257450">
      <w:pPr>
        <w:pStyle w:val="9"/>
        <w:spacing w:line="500" w:lineRule="exact"/>
        <w:jc w:val="center"/>
        <w:rPr>
          <w:b/>
          <w:sz w:val="36"/>
          <w:szCs w:val="28"/>
        </w:rPr>
      </w:pPr>
      <w:r>
        <w:rPr>
          <w:rFonts w:hint="eastAsia"/>
          <w:b/>
          <w:sz w:val="36"/>
          <w:szCs w:val="28"/>
        </w:rPr>
        <w:t>目录</w:t>
      </w:r>
    </w:p>
    <w:p w14:paraId="4ED0B35E">
      <w:pPr>
        <w:pStyle w:val="9"/>
        <w:spacing w:line="500" w:lineRule="exact"/>
        <w:rPr>
          <w:rFonts w:ascii="仿宋_GB2312" w:hAnsi="仿宋_GB2312" w:cs="仿宋_GB2312"/>
          <w:b/>
          <w:sz w:val="28"/>
          <w:szCs w:val="28"/>
        </w:rPr>
      </w:pPr>
      <w:r>
        <w:rPr>
          <w:rFonts w:hint="eastAsia"/>
          <w:b/>
          <w:sz w:val="28"/>
          <w:szCs w:val="28"/>
        </w:rPr>
        <w:t>第一部分湖南省地质矿产勘查开发局四〇二队概况</w:t>
      </w:r>
    </w:p>
    <w:p w14:paraId="199DF042">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14:paraId="27CC02EF">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14:paraId="41B86DAE">
      <w:pPr>
        <w:pStyle w:val="9"/>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14:paraId="7D6E8CD0">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14:paraId="131CB170">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14:paraId="08317510">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14:paraId="5712FB5A">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14:paraId="5E987547">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14:paraId="1D93EB39">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14:paraId="11D7F7E9">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14:paraId="5EF3F0ED">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14:paraId="1A1BBDED">
      <w:pPr>
        <w:pStyle w:val="9"/>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14:paraId="0D99BDBF">
      <w:pPr>
        <w:pStyle w:val="9"/>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14:paraId="1B1B7159">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14:paraId="111941C9">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14:paraId="6F643671">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14:paraId="38793F90">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14:paraId="27D643E0">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14:paraId="6C7D9643">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14:paraId="3BE8A744">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14:paraId="6F78B661">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14:paraId="4F09F2DC">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14:paraId="2D3BFE53">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14:paraId="0F78FD39">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14:paraId="40F344BC">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14:paraId="386646F7">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14:paraId="5A67F4C5">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14:paraId="55944D6B">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14:paraId="668301D7">
      <w:pPr>
        <w:jc w:val="center"/>
        <w:rPr>
          <w:sz w:val="72"/>
          <w:szCs w:val="72"/>
        </w:rPr>
      </w:pPr>
    </w:p>
    <w:p w14:paraId="2F54D094">
      <w:pPr>
        <w:jc w:val="center"/>
        <w:rPr>
          <w:sz w:val="72"/>
          <w:szCs w:val="72"/>
        </w:rPr>
      </w:pPr>
    </w:p>
    <w:p w14:paraId="571C295E">
      <w:pPr>
        <w:pStyle w:val="9"/>
        <w:jc w:val="center"/>
        <w:rPr>
          <w:sz w:val="84"/>
          <w:szCs w:val="84"/>
        </w:rPr>
      </w:pPr>
    </w:p>
    <w:p w14:paraId="16F817D0">
      <w:pPr>
        <w:pStyle w:val="9"/>
        <w:jc w:val="center"/>
        <w:rPr>
          <w:sz w:val="84"/>
          <w:szCs w:val="84"/>
        </w:rPr>
      </w:pPr>
    </w:p>
    <w:p w14:paraId="66879ADB">
      <w:pPr>
        <w:pStyle w:val="9"/>
        <w:jc w:val="center"/>
        <w:rPr>
          <w:sz w:val="84"/>
          <w:szCs w:val="84"/>
        </w:rPr>
      </w:pPr>
    </w:p>
    <w:p w14:paraId="47DF7885">
      <w:pPr>
        <w:pStyle w:val="9"/>
        <w:jc w:val="center"/>
        <w:rPr>
          <w:sz w:val="84"/>
          <w:szCs w:val="84"/>
        </w:rPr>
      </w:pPr>
      <w:r>
        <w:rPr>
          <w:rFonts w:hint="eastAsia"/>
          <w:sz w:val="84"/>
          <w:szCs w:val="84"/>
        </w:rPr>
        <w:t>第一部分</w:t>
      </w:r>
      <w:r>
        <w:rPr>
          <w:sz w:val="84"/>
          <w:szCs w:val="84"/>
        </w:rPr>
        <w:t xml:space="preserve"> </w:t>
      </w:r>
    </w:p>
    <w:p w14:paraId="4BFAF4F6">
      <w:pPr>
        <w:pStyle w:val="9"/>
        <w:jc w:val="center"/>
        <w:rPr>
          <w:sz w:val="84"/>
          <w:szCs w:val="84"/>
        </w:rPr>
      </w:pPr>
    </w:p>
    <w:p w14:paraId="0FFDD21E">
      <w:pPr>
        <w:pStyle w:val="9"/>
        <w:jc w:val="center"/>
        <w:rPr>
          <w:sz w:val="84"/>
          <w:szCs w:val="84"/>
        </w:rPr>
      </w:pPr>
      <w:r>
        <w:rPr>
          <w:rFonts w:hint="eastAsia"/>
          <w:sz w:val="84"/>
          <w:szCs w:val="84"/>
        </w:rPr>
        <w:t>湖南省地质矿产勘查开发局四〇二队概况</w:t>
      </w:r>
    </w:p>
    <w:p w14:paraId="74D58C6F">
      <w:pPr>
        <w:jc w:val="center"/>
        <w:rPr>
          <w:sz w:val="72"/>
          <w:szCs w:val="72"/>
        </w:rPr>
      </w:pPr>
    </w:p>
    <w:p w14:paraId="4498C98B">
      <w:pPr>
        <w:jc w:val="center"/>
        <w:rPr>
          <w:sz w:val="72"/>
          <w:szCs w:val="72"/>
        </w:rPr>
      </w:pPr>
    </w:p>
    <w:p w14:paraId="79BFC05A">
      <w:pPr>
        <w:jc w:val="center"/>
        <w:rPr>
          <w:sz w:val="72"/>
          <w:szCs w:val="72"/>
        </w:rPr>
      </w:pPr>
    </w:p>
    <w:p w14:paraId="17B44DE6">
      <w:pPr>
        <w:jc w:val="center"/>
        <w:rPr>
          <w:sz w:val="72"/>
          <w:szCs w:val="72"/>
        </w:rPr>
      </w:pPr>
    </w:p>
    <w:p w14:paraId="4CCA52B7">
      <w:pPr>
        <w:jc w:val="center"/>
        <w:rPr>
          <w:sz w:val="72"/>
          <w:szCs w:val="72"/>
        </w:rPr>
      </w:pPr>
    </w:p>
    <w:p w14:paraId="311D6541">
      <w:pPr>
        <w:pStyle w:val="10"/>
        <w:numPr>
          <w:ilvl w:val="0"/>
          <w:numId w:val="1"/>
        </w:numPr>
        <w:ind w:firstLineChars="0"/>
        <w:jc w:val="left"/>
        <w:rPr>
          <w:rFonts w:ascii="黑体" w:hAnsi="黑体" w:eastAsia="黑体"/>
          <w:sz w:val="32"/>
          <w:szCs w:val="32"/>
        </w:rPr>
      </w:pPr>
      <w:r>
        <w:rPr>
          <w:rFonts w:ascii="黑体" w:hAnsi="黑体" w:eastAsia="黑体"/>
          <w:sz w:val="32"/>
          <w:szCs w:val="32"/>
        </w:rPr>
        <w:t>部门职责</w:t>
      </w:r>
    </w:p>
    <w:p w14:paraId="56B2E449">
      <w:pPr>
        <w:pStyle w:val="10"/>
        <w:ind w:firstLine="0" w:firstLineChars="0"/>
        <w:jc w:val="left"/>
        <w:rPr>
          <w:rFonts w:asciiTheme="minorEastAsia" w:hAnsiTheme="minorEastAsia"/>
          <w:bCs/>
          <w:kern w:val="0"/>
          <w:sz w:val="32"/>
          <w:szCs w:val="32"/>
        </w:rPr>
      </w:pPr>
      <w:r>
        <w:rPr>
          <w:rFonts w:hint="eastAsia" w:ascii="黑体" w:hAnsi="黑体" w:eastAsia="黑体"/>
          <w:sz w:val="32"/>
          <w:szCs w:val="32"/>
        </w:rPr>
        <w:t xml:space="preserve">     </w:t>
      </w:r>
      <w:r>
        <w:rPr>
          <w:rFonts w:hint="eastAsia" w:asciiTheme="minorEastAsia" w:hAnsiTheme="minorEastAsia"/>
          <w:bCs/>
          <w:kern w:val="0"/>
          <w:sz w:val="32"/>
          <w:szCs w:val="32"/>
        </w:rPr>
        <w:t>湖南省地质矿产勘查开发局四○二队为湖南省地质院所属二级预算单位，为财政补助事业单位。主要从事固体矿产勘查、水文地质环境地质工程地质调查、岩土工程勘察、地质灾害防治工程评估、设计、勘查、施工、监理、测量测绘工程施工、工程试验检测与城市规划测量，以及工民建、地基与基础、公路桥梁、土石方、隧道工程、水利水电施工等业务。</w:t>
      </w:r>
    </w:p>
    <w:p w14:paraId="09D55049">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14:paraId="75063DD9">
      <w:pPr>
        <w:widowControl/>
        <w:spacing w:line="600" w:lineRule="exact"/>
        <w:rPr>
          <w:rFonts w:asciiTheme="minorEastAsia" w:hAnsiTheme="minorEastAsia"/>
          <w:bCs/>
          <w:kern w:val="0"/>
          <w:sz w:val="32"/>
          <w:szCs w:val="32"/>
        </w:rPr>
      </w:pPr>
      <w:r>
        <w:rPr>
          <w:rFonts w:hint="eastAsia" w:asciiTheme="minorEastAsia" w:hAnsiTheme="minorEastAsia"/>
          <w:bCs/>
          <w:kern w:val="0"/>
          <w:sz w:val="32"/>
          <w:szCs w:val="32"/>
        </w:rPr>
        <w:t>（一）内设机构设置。本单位机关下设行政办公室、监察室、党团委办公室、劳动人事科、财务科、经营管理科、审计科、资质管理办公室、设备管理科、后勤服务中心、安全保卫科、宣传中心、总工办、工会、离退休科15个职能部门。</w:t>
      </w:r>
    </w:p>
    <w:p w14:paraId="5668BC45">
      <w:pPr>
        <w:rPr>
          <w:rFonts w:ascii="黑体" w:hAnsi="黑体" w:eastAsia="黑体"/>
          <w:sz w:val="28"/>
          <w:szCs w:val="28"/>
        </w:rPr>
      </w:pPr>
      <w:r>
        <w:rPr>
          <w:rFonts w:hint="eastAsia" w:asciiTheme="minorEastAsia" w:hAnsiTheme="minorEastAsia"/>
          <w:bCs/>
          <w:kern w:val="0"/>
          <w:sz w:val="32"/>
          <w:szCs w:val="32"/>
        </w:rPr>
        <w:t>（二）决算单位构成。本单位2021年部门决算汇总公开单位构成包括：湖南省地质矿产勘查开发局四〇二队本级, 为二级预算单位，没有其他下属预算单位。</w:t>
      </w:r>
    </w:p>
    <w:p w14:paraId="4EF88ACC">
      <w:pPr>
        <w:jc w:val="center"/>
        <w:rPr>
          <w:rFonts w:ascii="黑体" w:hAnsi="黑体" w:eastAsia="黑体"/>
          <w:sz w:val="28"/>
          <w:szCs w:val="28"/>
        </w:rPr>
      </w:pPr>
    </w:p>
    <w:p w14:paraId="4E09C45E">
      <w:pPr>
        <w:jc w:val="center"/>
        <w:rPr>
          <w:rFonts w:ascii="黑体" w:hAnsi="黑体" w:eastAsia="黑体"/>
          <w:sz w:val="28"/>
          <w:szCs w:val="28"/>
        </w:rPr>
      </w:pPr>
    </w:p>
    <w:p w14:paraId="111C6A46">
      <w:pPr>
        <w:jc w:val="center"/>
        <w:rPr>
          <w:rFonts w:ascii="黑体" w:hAnsi="黑体" w:eastAsia="黑体"/>
          <w:sz w:val="28"/>
          <w:szCs w:val="28"/>
        </w:rPr>
      </w:pPr>
    </w:p>
    <w:p w14:paraId="1B311DEC">
      <w:pPr>
        <w:jc w:val="center"/>
        <w:rPr>
          <w:rFonts w:ascii="黑体" w:hAnsi="黑体" w:eastAsia="黑体"/>
          <w:sz w:val="28"/>
          <w:szCs w:val="28"/>
        </w:rPr>
      </w:pPr>
    </w:p>
    <w:p w14:paraId="5E00BE3D">
      <w:pPr>
        <w:jc w:val="center"/>
        <w:rPr>
          <w:rFonts w:ascii="黑体" w:hAnsi="黑体" w:eastAsia="黑体"/>
          <w:sz w:val="28"/>
          <w:szCs w:val="28"/>
        </w:rPr>
      </w:pPr>
    </w:p>
    <w:p w14:paraId="6A21F4B1">
      <w:pPr>
        <w:jc w:val="center"/>
        <w:rPr>
          <w:rFonts w:ascii="黑体" w:hAnsi="黑体" w:eastAsia="黑体"/>
          <w:sz w:val="28"/>
          <w:szCs w:val="28"/>
        </w:rPr>
      </w:pPr>
    </w:p>
    <w:p w14:paraId="5E0948B1">
      <w:pPr>
        <w:jc w:val="center"/>
        <w:rPr>
          <w:rFonts w:ascii="黑体" w:hAnsi="黑体" w:eastAsia="黑体"/>
          <w:sz w:val="28"/>
          <w:szCs w:val="28"/>
        </w:rPr>
      </w:pPr>
    </w:p>
    <w:p w14:paraId="7202659D">
      <w:pPr>
        <w:jc w:val="center"/>
        <w:rPr>
          <w:rFonts w:ascii="黑体" w:hAnsi="黑体" w:eastAsia="黑体"/>
          <w:sz w:val="28"/>
          <w:szCs w:val="28"/>
        </w:rPr>
      </w:pPr>
    </w:p>
    <w:p w14:paraId="26EE6B23">
      <w:pPr>
        <w:jc w:val="center"/>
        <w:rPr>
          <w:sz w:val="72"/>
          <w:szCs w:val="72"/>
        </w:rPr>
      </w:pPr>
    </w:p>
    <w:p w14:paraId="1CFAA684">
      <w:pPr>
        <w:jc w:val="center"/>
        <w:rPr>
          <w:sz w:val="72"/>
          <w:szCs w:val="72"/>
        </w:rPr>
      </w:pPr>
    </w:p>
    <w:p w14:paraId="1D63F67A">
      <w:pPr>
        <w:jc w:val="center"/>
        <w:rPr>
          <w:sz w:val="72"/>
          <w:szCs w:val="72"/>
        </w:rPr>
      </w:pPr>
    </w:p>
    <w:p w14:paraId="00718EF9">
      <w:pPr>
        <w:jc w:val="center"/>
        <w:rPr>
          <w:sz w:val="72"/>
          <w:szCs w:val="72"/>
        </w:rPr>
      </w:pPr>
    </w:p>
    <w:p w14:paraId="4EA56A9B">
      <w:pPr>
        <w:jc w:val="center"/>
        <w:rPr>
          <w:sz w:val="72"/>
          <w:szCs w:val="72"/>
        </w:rPr>
      </w:pPr>
    </w:p>
    <w:p w14:paraId="3A20CDC5">
      <w:pPr>
        <w:jc w:val="center"/>
        <w:rPr>
          <w:sz w:val="72"/>
          <w:szCs w:val="72"/>
        </w:rPr>
      </w:pPr>
    </w:p>
    <w:p w14:paraId="2562EDE4">
      <w:pPr>
        <w:jc w:val="center"/>
        <w:rPr>
          <w:sz w:val="72"/>
          <w:szCs w:val="72"/>
        </w:rPr>
      </w:pPr>
    </w:p>
    <w:p w14:paraId="4248873E">
      <w:pPr>
        <w:jc w:val="center"/>
        <w:rPr>
          <w:sz w:val="72"/>
          <w:szCs w:val="72"/>
        </w:rPr>
      </w:pPr>
      <w:r>
        <w:rPr>
          <w:rFonts w:hint="eastAsia"/>
          <w:sz w:val="72"/>
          <w:szCs w:val="72"/>
        </w:rPr>
        <w:t>第二部分</w:t>
      </w:r>
    </w:p>
    <w:p w14:paraId="7847CA3A">
      <w:pPr>
        <w:jc w:val="center"/>
        <w:rPr>
          <w:sz w:val="72"/>
          <w:szCs w:val="72"/>
        </w:rPr>
      </w:pPr>
    </w:p>
    <w:p w14:paraId="27A4CA36">
      <w:pPr>
        <w:jc w:val="center"/>
        <w:rPr>
          <w:sz w:val="72"/>
          <w:szCs w:val="72"/>
        </w:rPr>
      </w:pPr>
      <w:r>
        <w:rPr>
          <w:rFonts w:hint="eastAsia"/>
          <w:sz w:val="72"/>
          <w:szCs w:val="72"/>
        </w:rPr>
        <w:t>部门决算表</w:t>
      </w:r>
    </w:p>
    <w:p w14:paraId="7C31B963">
      <w:pPr>
        <w:jc w:val="center"/>
        <w:rPr>
          <w:sz w:val="72"/>
          <w:szCs w:val="72"/>
        </w:rPr>
      </w:pPr>
    </w:p>
    <w:p w14:paraId="65DB02B6">
      <w:pPr>
        <w:jc w:val="center"/>
        <w:rPr>
          <w:sz w:val="72"/>
          <w:szCs w:val="72"/>
        </w:rPr>
      </w:pPr>
    </w:p>
    <w:p w14:paraId="123FD433">
      <w:pPr>
        <w:jc w:val="center"/>
        <w:rPr>
          <w:sz w:val="72"/>
          <w:szCs w:val="72"/>
        </w:rPr>
      </w:pPr>
    </w:p>
    <w:p w14:paraId="1AA9F36B">
      <w:pPr>
        <w:jc w:val="center"/>
        <w:rPr>
          <w:sz w:val="72"/>
          <w:szCs w:val="72"/>
        </w:rPr>
      </w:pPr>
    </w:p>
    <w:p w14:paraId="5228B64A">
      <w:pPr>
        <w:jc w:val="center"/>
        <w:rPr>
          <w:sz w:val="72"/>
          <w:szCs w:val="72"/>
        </w:rPr>
      </w:pPr>
    </w:p>
    <w:p w14:paraId="4CFF4439">
      <w:pPr>
        <w:jc w:val="center"/>
        <w:rPr>
          <w:sz w:val="72"/>
          <w:szCs w:val="72"/>
        </w:rPr>
      </w:pPr>
    </w:p>
    <w:p w14:paraId="35896F7E">
      <w:pPr>
        <w:jc w:val="left"/>
        <w:rPr>
          <w:sz w:val="32"/>
          <w:szCs w:val="32"/>
        </w:rPr>
      </w:pPr>
    </w:p>
    <w:p w14:paraId="7C253A79">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14:paraId="5CEBE345">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r>
        <w:drawing>
          <wp:inline distT="0" distB="0" distL="0" distR="0">
            <wp:extent cx="7162800" cy="5928360"/>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7162800" cy="5928360"/>
                    </a:xfrm>
                    <a:prstGeom prst="rect">
                      <a:avLst/>
                    </a:prstGeom>
                    <a:noFill/>
                    <a:ln>
                      <a:noFill/>
                    </a:ln>
                  </pic:spPr>
                </pic:pic>
              </a:graphicData>
            </a:graphic>
          </wp:inline>
        </w:drawing>
      </w:r>
    </w:p>
    <w:p w14:paraId="030CC8B7">
      <w:r>
        <w:drawing>
          <wp:inline distT="0" distB="0" distL="0" distR="0">
            <wp:extent cx="9326880" cy="6172200"/>
            <wp:effectExtent l="0" t="0" r="762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9326880" cy="6172200"/>
                    </a:xfrm>
                    <a:prstGeom prst="rect">
                      <a:avLst/>
                    </a:prstGeom>
                    <a:noFill/>
                    <a:ln>
                      <a:noFill/>
                    </a:ln>
                  </pic:spPr>
                </pic:pic>
              </a:graphicData>
            </a:graphic>
          </wp:inline>
        </w:drawing>
      </w:r>
    </w:p>
    <w:tbl>
      <w:tblPr>
        <w:tblStyle w:val="5"/>
        <w:tblW w:w="15521" w:type="dxa"/>
        <w:tblInd w:w="93" w:type="dxa"/>
        <w:tblLayout w:type="autofit"/>
        <w:tblCellMar>
          <w:top w:w="0" w:type="dxa"/>
          <w:left w:w="108" w:type="dxa"/>
          <w:bottom w:w="0" w:type="dxa"/>
          <w:right w:w="108" w:type="dxa"/>
        </w:tblCellMar>
      </w:tblPr>
      <w:tblGrid>
        <w:gridCol w:w="1516"/>
        <w:gridCol w:w="383"/>
        <w:gridCol w:w="1802"/>
        <w:gridCol w:w="1717"/>
        <w:gridCol w:w="1521"/>
        <w:gridCol w:w="1785"/>
        <w:gridCol w:w="1777"/>
        <w:gridCol w:w="2248"/>
        <w:gridCol w:w="2772"/>
      </w:tblGrid>
      <w:tr w14:paraId="10AD3A02">
        <w:tblPrEx>
          <w:tblCellMar>
            <w:top w:w="0" w:type="dxa"/>
            <w:left w:w="108" w:type="dxa"/>
            <w:bottom w:w="0" w:type="dxa"/>
            <w:right w:w="108" w:type="dxa"/>
          </w:tblCellMar>
        </w:tblPrEx>
        <w:trPr>
          <w:trHeight w:val="435" w:hRule="atLeast"/>
        </w:trPr>
        <w:tc>
          <w:tcPr>
            <w:tcW w:w="15521" w:type="dxa"/>
            <w:gridSpan w:val="9"/>
            <w:tcBorders>
              <w:top w:val="nil"/>
              <w:left w:val="nil"/>
              <w:bottom w:val="nil"/>
              <w:right w:val="nil"/>
            </w:tcBorders>
            <w:shd w:val="clear" w:color="auto" w:fill="auto"/>
            <w:noWrap/>
            <w:vAlign w:val="center"/>
          </w:tcPr>
          <w:p w14:paraId="70B88DA4"/>
          <w:p w14:paraId="74C93BF6">
            <w:pPr>
              <w:rPr>
                <w:rFonts w:ascii="华文中宋" w:hAnsi="华文中宋" w:eastAsia="华文中宋" w:cs="宋体"/>
                <w:color w:val="000000"/>
                <w:kern w:val="0"/>
                <w:sz w:val="32"/>
                <w:szCs w:val="32"/>
              </w:rPr>
            </w:pPr>
            <w:r>
              <w:drawing>
                <wp:inline distT="0" distB="0" distL="0" distR="0">
                  <wp:extent cx="9646920" cy="64236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9646920" cy="6423660"/>
                          </a:xfrm>
                          <a:prstGeom prst="rect">
                            <a:avLst/>
                          </a:prstGeom>
                          <a:noFill/>
                          <a:ln>
                            <a:noFill/>
                          </a:ln>
                        </pic:spPr>
                      </pic:pic>
                    </a:graphicData>
                  </a:graphic>
                </wp:inline>
              </w:drawing>
            </w:r>
          </w:p>
        </w:tc>
      </w:tr>
      <w:tr w14:paraId="36A1E127">
        <w:tblPrEx>
          <w:tblCellMar>
            <w:top w:w="0" w:type="dxa"/>
            <w:left w:w="108" w:type="dxa"/>
            <w:bottom w:w="0" w:type="dxa"/>
            <w:right w:w="108" w:type="dxa"/>
          </w:tblCellMar>
        </w:tblPrEx>
        <w:trPr>
          <w:trHeight w:val="285" w:hRule="atLeast"/>
        </w:trPr>
        <w:tc>
          <w:tcPr>
            <w:tcW w:w="1516" w:type="dxa"/>
            <w:tcBorders>
              <w:top w:val="nil"/>
              <w:left w:val="nil"/>
              <w:bottom w:val="nil"/>
              <w:right w:val="nil"/>
            </w:tcBorders>
            <w:shd w:val="clear" w:color="000000" w:fill="FFFFFF"/>
            <w:noWrap/>
            <w:vAlign w:val="center"/>
          </w:tcPr>
          <w:p w14:paraId="6A22446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83" w:type="dxa"/>
            <w:tcBorders>
              <w:top w:val="nil"/>
              <w:left w:val="nil"/>
              <w:bottom w:val="nil"/>
              <w:right w:val="nil"/>
            </w:tcBorders>
            <w:shd w:val="clear" w:color="000000" w:fill="FFFFFF"/>
            <w:noWrap/>
            <w:vAlign w:val="center"/>
          </w:tcPr>
          <w:p w14:paraId="08B0D41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02" w:type="dxa"/>
            <w:tcBorders>
              <w:top w:val="nil"/>
              <w:left w:val="nil"/>
              <w:bottom w:val="nil"/>
              <w:right w:val="nil"/>
            </w:tcBorders>
            <w:shd w:val="clear" w:color="000000" w:fill="FFFFFF"/>
            <w:noWrap/>
            <w:vAlign w:val="center"/>
          </w:tcPr>
          <w:p w14:paraId="26D46DD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17" w:type="dxa"/>
            <w:tcBorders>
              <w:top w:val="nil"/>
              <w:left w:val="nil"/>
              <w:bottom w:val="nil"/>
              <w:right w:val="nil"/>
            </w:tcBorders>
            <w:shd w:val="clear" w:color="000000" w:fill="FFFFFF"/>
            <w:noWrap/>
            <w:vAlign w:val="center"/>
          </w:tcPr>
          <w:p w14:paraId="2902C5E7">
            <w:pPr>
              <w:widowControl/>
              <w:jc w:val="right"/>
              <w:rPr>
                <w:rFonts w:ascii="宋体" w:hAnsi="宋体" w:eastAsia="宋体" w:cs="宋体"/>
                <w:kern w:val="0"/>
                <w:sz w:val="24"/>
                <w:szCs w:val="24"/>
              </w:rPr>
            </w:pPr>
          </w:p>
        </w:tc>
        <w:tc>
          <w:tcPr>
            <w:tcW w:w="1521" w:type="dxa"/>
            <w:tcBorders>
              <w:top w:val="nil"/>
              <w:left w:val="nil"/>
              <w:bottom w:val="nil"/>
              <w:right w:val="nil"/>
            </w:tcBorders>
            <w:shd w:val="clear" w:color="000000" w:fill="FFFFFF"/>
            <w:noWrap/>
            <w:vAlign w:val="center"/>
          </w:tcPr>
          <w:p w14:paraId="539CCB8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85" w:type="dxa"/>
            <w:tcBorders>
              <w:top w:val="nil"/>
              <w:left w:val="nil"/>
              <w:bottom w:val="nil"/>
              <w:right w:val="nil"/>
            </w:tcBorders>
            <w:shd w:val="clear" w:color="000000" w:fill="FFFFFF"/>
            <w:noWrap/>
            <w:vAlign w:val="center"/>
          </w:tcPr>
          <w:p w14:paraId="1A51C05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77" w:type="dxa"/>
            <w:tcBorders>
              <w:top w:val="nil"/>
              <w:left w:val="nil"/>
              <w:bottom w:val="nil"/>
              <w:right w:val="nil"/>
            </w:tcBorders>
            <w:shd w:val="clear" w:color="000000" w:fill="FFFFFF"/>
            <w:noWrap/>
            <w:vAlign w:val="center"/>
          </w:tcPr>
          <w:p w14:paraId="0219557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48" w:type="dxa"/>
            <w:tcBorders>
              <w:top w:val="nil"/>
              <w:left w:val="nil"/>
              <w:bottom w:val="nil"/>
              <w:right w:val="nil"/>
            </w:tcBorders>
            <w:shd w:val="clear" w:color="000000" w:fill="FFFFFF"/>
            <w:noWrap/>
            <w:vAlign w:val="center"/>
          </w:tcPr>
          <w:p w14:paraId="10D08BAD">
            <w:pPr>
              <w:widowControl/>
              <w:jc w:val="right"/>
              <w:rPr>
                <w:rFonts w:ascii="宋体" w:hAnsi="宋体" w:eastAsia="宋体" w:cs="宋体"/>
                <w:kern w:val="0"/>
                <w:sz w:val="24"/>
                <w:szCs w:val="24"/>
              </w:rPr>
            </w:pPr>
          </w:p>
        </w:tc>
        <w:tc>
          <w:tcPr>
            <w:tcW w:w="2772" w:type="dxa"/>
            <w:tcBorders>
              <w:top w:val="nil"/>
              <w:left w:val="nil"/>
              <w:bottom w:val="nil"/>
              <w:right w:val="nil"/>
            </w:tcBorders>
            <w:shd w:val="clear" w:color="000000" w:fill="FFFFFF"/>
            <w:noWrap/>
            <w:vAlign w:val="center"/>
          </w:tcPr>
          <w:p w14:paraId="3757E612">
            <w:pPr>
              <w:widowControl/>
              <w:jc w:val="right"/>
              <w:rPr>
                <w:rFonts w:ascii="宋体" w:hAnsi="宋体" w:eastAsia="宋体" w:cs="宋体"/>
                <w:color w:val="000000"/>
                <w:kern w:val="0"/>
                <w:sz w:val="20"/>
                <w:szCs w:val="20"/>
              </w:rPr>
            </w:pPr>
          </w:p>
        </w:tc>
      </w:tr>
    </w:tbl>
    <w:p w14:paraId="4EC668A3">
      <w:pPr>
        <w:ind w:left="-141" w:leftChars="-67"/>
      </w:pPr>
      <w:bookmarkStart w:id="0" w:name="RANGE!A1:I22"/>
      <w:bookmarkEnd w:id="0"/>
      <w:bookmarkStart w:id="1" w:name="RANGE!A1:F16"/>
      <w:r>
        <w:drawing>
          <wp:inline distT="0" distB="0" distL="0" distR="0">
            <wp:extent cx="9646920" cy="6225540"/>
            <wp:effectExtent l="0" t="0" r="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9646920" cy="6225540"/>
                    </a:xfrm>
                    <a:prstGeom prst="rect">
                      <a:avLst/>
                    </a:prstGeom>
                    <a:noFill/>
                    <a:ln>
                      <a:noFill/>
                    </a:ln>
                  </pic:spPr>
                </pic:pic>
              </a:graphicData>
            </a:graphic>
          </wp:inline>
        </w:drawing>
      </w:r>
    </w:p>
    <w:p w14:paraId="02679EDB">
      <w:pPr>
        <w:ind w:left="2692" w:leftChars="1282"/>
      </w:pPr>
      <w:r>
        <w:drawing>
          <wp:inline distT="0" distB="0" distL="0" distR="0">
            <wp:extent cx="6515100" cy="640842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515100" cy="6408420"/>
                    </a:xfrm>
                    <a:prstGeom prst="rect">
                      <a:avLst/>
                    </a:prstGeom>
                    <a:noFill/>
                    <a:ln>
                      <a:noFill/>
                    </a:ln>
                  </pic:spPr>
                </pic:pic>
              </a:graphicData>
            </a:graphic>
          </wp:inline>
        </w:drawing>
      </w:r>
    </w:p>
    <w:bookmarkEnd w:id="1"/>
    <w:p w14:paraId="6F95CADC">
      <w:pPr>
        <w:widowControl/>
        <w:jc w:val="left"/>
        <w:rPr>
          <w:rFonts w:ascii="Times New Roman" w:hAnsi="Times New Roman" w:eastAsia="仿宋_GB2312" w:cs="Times New Roman"/>
          <w:bCs/>
          <w:kern w:val="0"/>
          <w:szCs w:val="21"/>
        </w:rPr>
      </w:pPr>
    </w:p>
    <w:tbl>
      <w:tblPr>
        <w:tblStyle w:val="5"/>
        <w:tblW w:w="0" w:type="auto"/>
        <w:tblInd w:w="0" w:type="dxa"/>
        <w:tblLayout w:type="autofit"/>
        <w:tblCellMar>
          <w:top w:w="0" w:type="dxa"/>
          <w:left w:w="108" w:type="dxa"/>
          <w:bottom w:w="0" w:type="dxa"/>
          <w:right w:w="108" w:type="dxa"/>
        </w:tblCellMar>
      </w:tblPr>
      <w:tblGrid>
        <w:gridCol w:w="222"/>
      </w:tblGrid>
      <w:tr w14:paraId="38E377EF">
        <w:tblPrEx>
          <w:tblCellMar>
            <w:top w:w="0" w:type="dxa"/>
            <w:left w:w="108" w:type="dxa"/>
            <w:bottom w:w="0" w:type="dxa"/>
            <w:right w:w="108" w:type="dxa"/>
          </w:tblCellMar>
        </w:tblPrEx>
        <w:trPr>
          <w:trHeight w:val="113" w:hRule="atLeast"/>
        </w:trPr>
        <w:tc>
          <w:tcPr>
            <w:tcW w:w="0" w:type="auto"/>
            <w:tcBorders>
              <w:top w:val="nil"/>
              <w:left w:val="nil"/>
              <w:bottom w:val="nil"/>
              <w:right w:val="nil"/>
            </w:tcBorders>
            <w:shd w:val="clear" w:color="auto" w:fill="auto"/>
            <w:noWrap/>
            <w:vAlign w:val="center"/>
          </w:tcPr>
          <w:p w14:paraId="2D20C458">
            <w:pPr>
              <w:widowControl/>
              <w:jc w:val="right"/>
              <w:rPr>
                <w:rFonts w:ascii="华文中宋" w:hAnsi="华文中宋" w:eastAsia="华文中宋" w:cs="宋体"/>
                <w:color w:val="000000"/>
                <w:kern w:val="0"/>
                <w:szCs w:val="32"/>
              </w:rPr>
            </w:pPr>
          </w:p>
        </w:tc>
      </w:tr>
    </w:tbl>
    <w:p w14:paraId="5CE3C66B">
      <w:r>
        <w:drawing>
          <wp:inline distT="0" distB="0" distL="0" distR="0">
            <wp:extent cx="9745980" cy="6096000"/>
            <wp:effectExtent l="0" t="0" r="7620" b="0"/>
            <wp:docPr id="273" name="图片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图片 2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9745980" cy="6096000"/>
                    </a:xfrm>
                    <a:prstGeom prst="rect">
                      <a:avLst/>
                    </a:prstGeom>
                    <a:noFill/>
                    <a:ln>
                      <a:noFill/>
                    </a:ln>
                  </pic:spPr>
                </pic:pic>
              </a:graphicData>
            </a:graphic>
          </wp:inline>
        </w:drawing>
      </w:r>
    </w:p>
    <w:p w14:paraId="4A2F13AD">
      <w:pPr>
        <w:widowControl/>
        <w:jc w:val="center"/>
        <w:rPr>
          <w:rFonts w:ascii="Times New Roman" w:hAnsi="Times New Roman" w:eastAsia="方正小标宋_GBK" w:cs="Times New Roman"/>
          <w:color w:val="000000"/>
          <w:kern w:val="0"/>
          <w:sz w:val="36"/>
          <w:szCs w:val="36"/>
        </w:rPr>
      </w:pPr>
    </w:p>
    <w:p w14:paraId="40BAAA97">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14:paraId="6067D0B8">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湖南省地质矿产勘查开发局四〇二队</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14:paraId="5131CDBC">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14:paraId="4A35CAAC">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14:paraId="000915B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14:paraId="2B06C84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14:paraId="50D812C0">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14:paraId="76D27BD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24A9E73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30E47F9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14:paraId="1ABB938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14:paraId="7BA1CE2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14:paraId="7E8A733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55E83C4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55E9888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14:paraId="049739F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14:paraId="00B39B9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14:paraId="214681DA">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14:paraId="25BA2612">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14:paraId="5B03E09D">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14:paraId="69EFD62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4C4F6E2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7CBC6B0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14:paraId="0C59C6E9">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14:paraId="0AB1762E">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14:paraId="4AEA6719">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14:paraId="6179223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188ED8F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4ECB6A2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14:paraId="1FD39208">
            <w:pPr>
              <w:widowControl/>
              <w:jc w:val="left"/>
              <w:rPr>
                <w:rFonts w:ascii="Times New Roman" w:hAnsi="Times New Roman" w:eastAsia="仿宋_GB2312" w:cs="Times New Roman"/>
                <w:kern w:val="0"/>
                <w:szCs w:val="21"/>
              </w:rPr>
            </w:pPr>
          </w:p>
        </w:tc>
      </w:tr>
      <w:tr w14:paraId="2C68F97D">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14:paraId="4AB7F4C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14:paraId="0A8176F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14:paraId="266D302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14:paraId="053B447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14:paraId="092AE06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14:paraId="3912DD4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14:paraId="6D82F2C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14:paraId="4944101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14:paraId="2D452C6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14:paraId="02E9ADD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14:paraId="6FFC1CE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14:paraId="15ACEDE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14:paraId="5198BA9A">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14:paraId="2FA00099">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14:paraId="2ECB20A4">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14:paraId="14F3DFDC">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14:paraId="02CD16AB">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14:paraId="54EF36E2">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14:paraId="61BB7977">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14:paraId="2080C823">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14:paraId="3DE3C172">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14:paraId="3DFD15A0">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14:paraId="79C207B5">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nil"/>
            </w:tcBorders>
            <w:shd w:val="clear" w:color="auto" w:fill="auto"/>
            <w:vAlign w:val="center"/>
          </w:tcPr>
          <w:p w14:paraId="1FCB5DC0">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single" w:color="auto" w:sz="4" w:space="0"/>
              <w:bottom w:val="single" w:color="auto" w:sz="8" w:space="0"/>
              <w:right w:val="single" w:color="auto" w:sz="8" w:space="0"/>
            </w:tcBorders>
            <w:shd w:val="clear" w:color="auto" w:fill="auto"/>
            <w:vAlign w:val="center"/>
          </w:tcPr>
          <w:p w14:paraId="6CCBCD83">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r>
    </w:tbl>
    <w:p w14:paraId="3CBAC24E">
      <w:pPr>
        <w:widowControl/>
        <w:jc w:val="left"/>
        <w:rPr>
          <w:rFonts w:hint="eastAsia"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14:paraId="1C9B0E62">
      <w:pPr>
        <w:widowControl/>
        <w:jc w:val="left"/>
        <w:rPr>
          <w:rFonts w:hint="eastAsia" w:ascii="宋体" w:eastAsia="宋体" w:cs="宋体"/>
          <w:kern w:val="0"/>
          <w:sz w:val="24"/>
          <w:szCs w:val="24"/>
        </w:rPr>
      </w:pPr>
      <w:r>
        <w:rPr>
          <w:rFonts w:ascii="Times New Roman" w:hAnsi="Times New Roman" w:eastAsia="仿宋_GB2312" w:cs="Times New Roman"/>
          <w:kern w:val="0"/>
          <w:szCs w:val="21"/>
        </w:rPr>
        <w:t>(</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eastAsia="zh-CN"/>
        </w:rPr>
        <w:t>湖南省地质矿产勘查开发局四〇二队</w:t>
      </w:r>
      <w:r>
        <w:rPr>
          <w:rFonts w:hint="eastAsia" w:ascii="Times New Roman" w:hAnsi="Times New Roman" w:eastAsia="仿宋_GB2312" w:cs="Times New Roman"/>
          <w:kern w:val="0"/>
          <w:szCs w:val="21"/>
        </w:rPr>
        <w:t>没有“三公”经费支出</w:t>
      </w:r>
      <w:r>
        <w:rPr>
          <w:rFonts w:hint="eastAsia" w:ascii="Times New Roman" w:hAnsi="Times New Roman" w:eastAsia="仿宋_GB2312" w:cs="Times New Roman"/>
          <w:kern w:val="0"/>
          <w:szCs w:val="21"/>
          <w:lang w:eastAsia="zh-CN"/>
        </w:rPr>
        <w:t>预算</w:t>
      </w:r>
      <w:r>
        <w:rPr>
          <w:rFonts w:hint="eastAsia" w:ascii="Times New Roman" w:hAnsi="Times New Roman" w:eastAsia="仿宋_GB2312" w:cs="Times New Roman"/>
          <w:kern w:val="0"/>
          <w:szCs w:val="21"/>
        </w:rPr>
        <w:t>，也没有“三公”经费支出</w:t>
      </w:r>
      <w:r>
        <w:rPr>
          <w:rFonts w:hint="eastAsia" w:ascii="Times New Roman" w:hAnsi="Times New Roman" w:eastAsia="仿宋_GB2312" w:cs="Times New Roman"/>
          <w:kern w:val="0"/>
          <w:szCs w:val="21"/>
          <w:lang w:eastAsia="zh-CN"/>
        </w:rPr>
        <w:t>预算</w:t>
      </w:r>
      <w:r>
        <w:rPr>
          <w:rFonts w:hint="eastAsia" w:ascii="Times New Roman" w:hAnsi="Times New Roman" w:eastAsia="仿宋_GB2312" w:cs="Times New Roman"/>
          <w:kern w:val="0"/>
          <w:szCs w:val="21"/>
        </w:rPr>
        <w:t>支出，故本表无数据</w:t>
      </w:r>
      <w:r>
        <w:rPr>
          <w:rFonts w:ascii="Times New Roman" w:hAnsi="Times New Roman" w:eastAsia="仿宋_GB2312" w:cs="Times New Roman"/>
          <w:kern w:val="0"/>
          <w:szCs w:val="21"/>
        </w:rPr>
        <w:t>)</w:t>
      </w:r>
    </w:p>
    <w:p w14:paraId="6A8F22B4">
      <w:pPr>
        <w:widowControl/>
        <w:jc w:val="left"/>
        <w:rPr>
          <w:rFonts w:hint="eastAsia" w:ascii="宋体" w:eastAsia="宋体" w:cs="宋体"/>
          <w:kern w:val="0"/>
          <w:sz w:val="24"/>
          <w:szCs w:val="24"/>
        </w:rPr>
      </w:pPr>
    </w:p>
    <w:p w14:paraId="5253380E">
      <w:pPr>
        <w:widowControl/>
        <w:jc w:val="left"/>
        <w:rPr>
          <w:rFonts w:hint="eastAsia" w:ascii="宋体" w:eastAsia="宋体" w:cs="宋体"/>
          <w:kern w:val="0"/>
          <w:sz w:val="24"/>
          <w:szCs w:val="24"/>
        </w:rPr>
      </w:pPr>
    </w:p>
    <w:p w14:paraId="4C15BC5E">
      <w:pPr>
        <w:widowControl/>
        <w:jc w:val="left"/>
        <w:rPr>
          <w:rFonts w:hint="eastAsia" w:ascii="宋体" w:eastAsia="宋体" w:cs="宋体"/>
          <w:kern w:val="0"/>
          <w:sz w:val="24"/>
          <w:szCs w:val="24"/>
        </w:rPr>
      </w:pPr>
    </w:p>
    <w:p w14:paraId="16820188">
      <w:pPr>
        <w:autoSpaceDE w:val="0"/>
        <w:autoSpaceDN w:val="0"/>
        <w:adjustRightInd w:val="0"/>
        <w:ind w:left="315" w:leftChars="150"/>
        <w:jc w:val="left"/>
        <w:rPr>
          <w:rFonts w:ascii="宋体" w:eastAsia="宋体" w:cs="宋体"/>
          <w:kern w:val="0"/>
          <w:sz w:val="24"/>
          <w:szCs w:val="24"/>
        </w:rPr>
      </w:pPr>
    </w:p>
    <w:p w14:paraId="02E7EE1C">
      <w:pPr>
        <w:autoSpaceDE w:val="0"/>
        <w:autoSpaceDN w:val="0"/>
        <w:adjustRightInd w:val="0"/>
        <w:ind w:left="315" w:leftChars="150"/>
        <w:jc w:val="left"/>
        <w:rPr>
          <w:rFonts w:ascii="宋体" w:eastAsia="宋体" w:cs="宋体"/>
          <w:kern w:val="0"/>
          <w:sz w:val="24"/>
          <w:szCs w:val="24"/>
        </w:rPr>
      </w:pPr>
    </w:p>
    <w:p w14:paraId="53601EE3">
      <w:pPr>
        <w:autoSpaceDE w:val="0"/>
        <w:autoSpaceDN w:val="0"/>
        <w:adjustRightInd w:val="0"/>
        <w:ind w:left="315" w:leftChars="150"/>
        <w:jc w:val="left"/>
        <w:rPr>
          <w:rFonts w:ascii="宋体" w:eastAsia="宋体" w:cs="宋体"/>
          <w:kern w:val="0"/>
          <w:sz w:val="24"/>
          <w:szCs w:val="24"/>
        </w:rPr>
      </w:pPr>
    </w:p>
    <w:p w14:paraId="17D6C7FE">
      <w:pPr>
        <w:autoSpaceDE w:val="0"/>
        <w:autoSpaceDN w:val="0"/>
        <w:adjustRightInd w:val="0"/>
        <w:ind w:left="315" w:leftChars="150"/>
        <w:jc w:val="left"/>
        <w:rPr>
          <w:rFonts w:ascii="宋体" w:eastAsia="宋体" w:cs="宋体"/>
          <w:kern w:val="0"/>
          <w:sz w:val="24"/>
          <w:szCs w:val="24"/>
        </w:rPr>
      </w:pPr>
    </w:p>
    <w:p w14:paraId="0A398EEC">
      <w:pPr>
        <w:widowControl/>
        <w:jc w:val="center"/>
        <w:rPr>
          <w:rFonts w:ascii="Times New Roman" w:hAnsi="Times New Roman" w:eastAsia="方正小标宋_GBK" w:cs="Times New Roman"/>
          <w:kern w:val="0"/>
          <w:sz w:val="36"/>
          <w:szCs w:val="36"/>
        </w:rPr>
      </w:pPr>
    </w:p>
    <w:p w14:paraId="30179EA3">
      <w:pPr>
        <w:widowControl/>
        <w:jc w:val="center"/>
        <w:rPr>
          <w:rFonts w:ascii="Times New Roman" w:hAnsi="Times New Roman" w:eastAsia="方正小标宋_GBK" w:cs="Times New Roman"/>
          <w:kern w:val="0"/>
          <w:sz w:val="36"/>
          <w:szCs w:val="36"/>
        </w:rPr>
      </w:pPr>
    </w:p>
    <w:p w14:paraId="536060BD">
      <w:pPr>
        <w:widowControl/>
        <w:jc w:val="center"/>
        <w:rPr>
          <w:rFonts w:ascii="Times New Roman" w:hAnsi="Times New Roman" w:eastAsia="方正小标宋_GBK" w:cs="Times New Roman"/>
          <w:kern w:val="0"/>
          <w:sz w:val="36"/>
          <w:szCs w:val="36"/>
        </w:rPr>
      </w:pPr>
    </w:p>
    <w:p w14:paraId="15142C5E">
      <w:pPr>
        <w:widowControl/>
        <w:jc w:val="center"/>
        <w:rPr>
          <w:rFonts w:ascii="Times New Roman" w:hAnsi="Times New Roman" w:eastAsia="方正小标宋_GBK" w:cs="Times New Roman"/>
          <w:kern w:val="0"/>
          <w:sz w:val="36"/>
          <w:szCs w:val="36"/>
        </w:rPr>
      </w:pPr>
    </w:p>
    <w:p w14:paraId="7F11AB88">
      <w:pPr>
        <w:widowControl/>
        <w:jc w:val="center"/>
        <w:rPr>
          <w:rFonts w:ascii="Times New Roman" w:hAnsi="Times New Roman" w:eastAsia="方正小标宋_GBK" w:cs="Times New Roman"/>
          <w:kern w:val="0"/>
          <w:sz w:val="36"/>
          <w:szCs w:val="36"/>
        </w:rPr>
      </w:pPr>
    </w:p>
    <w:p w14:paraId="03828624">
      <w:pPr>
        <w:widowControl/>
        <w:jc w:val="center"/>
        <w:rPr>
          <w:rFonts w:ascii="Times New Roman" w:hAnsi="Times New Roman" w:eastAsia="方正小标宋_GBK" w:cs="Times New Roman"/>
          <w:kern w:val="0"/>
          <w:sz w:val="36"/>
          <w:szCs w:val="36"/>
        </w:rPr>
      </w:pPr>
    </w:p>
    <w:p w14:paraId="747A10E9">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14:paraId="298AD850">
      <w:pPr>
        <w:widowControl/>
        <w:wordWrap/>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湖南省地质矿产勘查开发局四〇二队</w:t>
      </w:r>
      <w:r>
        <w:rPr>
          <w:rFonts w:ascii="Times New Roman" w:hAnsi="Times New Roman" w:eastAsia="仿宋_GB2312" w:cs="Times New Roman"/>
          <w:color w:val="000000"/>
          <w:kern w:val="0"/>
          <w:szCs w:val="21"/>
        </w:rPr>
        <w:t xml:space="preserve">                                                                                        公开08表</w:t>
      </w:r>
    </w:p>
    <w:p w14:paraId="7923396D">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14:paraId="50045B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147278B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14:paraId="4D60643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14:paraId="56B8F70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14:paraId="3F7BFCA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14:paraId="64F2045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14:paraId="53902F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14:paraId="615B5A4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14:paraId="4C2A48A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14:paraId="3100A14B">
            <w:pPr>
              <w:widowControl/>
              <w:jc w:val="left"/>
              <w:rPr>
                <w:rFonts w:ascii="Times New Roman" w:hAnsi="Times New Roman" w:eastAsia="仿宋_GB2312" w:cs="Times New Roman"/>
                <w:b/>
                <w:kern w:val="0"/>
                <w:szCs w:val="21"/>
              </w:rPr>
            </w:pPr>
          </w:p>
        </w:tc>
        <w:tc>
          <w:tcPr>
            <w:tcW w:w="2000" w:type="dxa"/>
            <w:vMerge w:val="continue"/>
            <w:vAlign w:val="center"/>
          </w:tcPr>
          <w:p w14:paraId="1F52C523">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14:paraId="61AFEE0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14:paraId="7ABD1B7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14:paraId="623A423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14:paraId="4FB2D787">
            <w:pPr>
              <w:widowControl/>
              <w:jc w:val="left"/>
              <w:rPr>
                <w:rFonts w:ascii="Times New Roman" w:hAnsi="Times New Roman" w:eastAsia="仿宋_GB2312" w:cs="Times New Roman"/>
                <w:b/>
                <w:kern w:val="0"/>
                <w:szCs w:val="21"/>
              </w:rPr>
            </w:pPr>
          </w:p>
        </w:tc>
      </w:tr>
      <w:tr w14:paraId="3EB1CF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14:paraId="2C59CC7B">
            <w:pPr>
              <w:widowControl/>
              <w:jc w:val="left"/>
              <w:rPr>
                <w:rFonts w:ascii="Times New Roman" w:hAnsi="Times New Roman" w:eastAsia="仿宋_GB2312" w:cs="Times New Roman"/>
                <w:kern w:val="0"/>
                <w:szCs w:val="21"/>
              </w:rPr>
            </w:pPr>
          </w:p>
        </w:tc>
        <w:tc>
          <w:tcPr>
            <w:tcW w:w="1320" w:type="dxa"/>
            <w:vMerge w:val="continue"/>
            <w:vAlign w:val="center"/>
          </w:tcPr>
          <w:p w14:paraId="0E76EFDC">
            <w:pPr>
              <w:widowControl/>
              <w:jc w:val="left"/>
              <w:rPr>
                <w:rFonts w:ascii="Times New Roman" w:hAnsi="Times New Roman" w:eastAsia="仿宋_GB2312" w:cs="Times New Roman"/>
                <w:kern w:val="0"/>
                <w:szCs w:val="21"/>
              </w:rPr>
            </w:pPr>
          </w:p>
        </w:tc>
        <w:tc>
          <w:tcPr>
            <w:tcW w:w="2000" w:type="dxa"/>
            <w:vMerge w:val="continue"/>
            <w:vAlign w:val="center"/>
          </w:tcPr>
          <w:p w14:paraId="28213584">
            <w:pPr>
              <w:widowControl/>
              <w:jc w:val="left"/>
              <w:rPr>
                <w:rFonts w:ascii="Times New Roman" w:hAnsi="Times New Roman" w:eastAsia="仿宋_GB2312" w:cs="Times New Roman"/>
                <w:kern w:val="0"/>
                <w:szCs w:val="21"/>
              </w:rPr>
            </w:pPr>
          </w:p>
        </w:tc>
        <w:tc>
          <w:tcPr>
            <w:tcW w:w="2000" w:type="dxa"/>
            <w:vMerge w:val="continue"/>
            <w:vAlign w:val="center"/>
          </w:tcPr>
          <w:p w14:paraId="2B661D38">
            <w:pPr>
              <w:widowControl/>
              <w:jc w:val="left"/>
              <w:rPr>
                <w:rFonts w:ascii="Times New Roman" w:hAnsi="Times New Roman" w:eastAsia="仿宋_GB2312" w:cs="Times New Roman"/>
                <w:kern w:val="0"/>
                <w:szCs w:val="21"/>
              </w:rPr>
            </w:pPr>
          </w:p>
        </w:tc>
        <w:tc>
          <w:tcPr>
            <w:tcW w:w="2000" w:type="dxa"/>
            <w:vMerge w:val="continue"/>
            <w:vAlign w:val="center"/>
          </w:tcPr>
          <w:p w14:paraId="7578EF1F">
            <w:pPr>
              <w:widowControl/>
              <w:jc w:val="left"/>
              <w:rPr>
                <w:rFonts w:ascii="Times New Roman" w:hAnsi="Times New Roman" w:eastAsia="仿宋_GB2312" w:cs="Times New Roman"/>
                <w:kern w:val="0"/>
                <w:szCs w:val="21"/>
              </w:rPr>
            </w:pPr>
          </w:p>
        </w:tc>
        <w:tc>
          <w:tcPr>
            <w:tcW w:w="2000" w:type="dxa"/>
            <w:vMerge w:val="continue"/>
            <w:vAlign w:val="center"/>
          </w:tcPr>
          <w:p w14:paraId="7F8CB6D6">
            <w:pPr>
              <w:widowControl/>
              <w:jc w:val="left"/>
              <w:rPr>
                <w:rFonts w:ascii="Times New Roman" w:hAnsi="Times New Roman" w:eastAsia="仿宋_GB2312" w:cs="Times New Roman"/>
                <w:kern w:val="0"/>
                <w:szCs w:val="21"/>
              </w:rPr>
            </w:pPr>
          </w:p>
        </w:tc>
        <w:tc>
          <w:tcPr>
            <w:tcW w:w="2000" w:type="dxa"/>
            <w:vMerge w:val="continue"/>
            <w:vAlign w:val="center"/>
          </w:tcPr>
          <w:p w14:paraId="635A5A32">
            <w:pPr>
              <w:widowControl/>
              <w:jc w:val="left"/>
              <w:rPr>
                <w:rFonts w:ascii="Times New Roman" w:hAnsi="Times New Roman" w:eastAsia="仿宋_GB2312" w:cs="Times New Roman"/>
                <w:kern w:val="0"/>
                <w:szCs w:val="21"/>
              </w:rPr>
            </w:pPr>
          </w:p>
        </w:tc>
        <w:tc>
          <w:tcPr>
            <w:tcW w:w="2000" w:type="dxa"/>
            <w:vMerge w:val="continue"/>
            <w:vAlign w:val="center"/>
          </w:tcPr>
          <w:p w14:paraId="2661B026">
            <w:pPr>
              <w:widowControl/>
              <w:jc w:val="left"/>
              <w:rPr>
                <w:rFonts w:ascii="Times New Roman" w:hAnsi="Times New Roman" w:eastAsia="仿宋_GB2312" w:cs="Times New Roman"/>
                <w:kern w:val="0"/>
                <w:szCs w:val="21"/>
              </w:rPr>
            </w:pPr>
          </w:p>
        </w:tc>
      </w:tr>
      <w:tr w14:paraId="3DE478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14:paraId="668179FC">
            <w:pPr>
              <w:widowControl/>
              <w:jc w:val="left"/>
              <w:rPr>
                <w:rFonts w:ascii="Times New Roman" w:hAnsi="Times New Roman" w:eastAsia="仿宋_GB2312" w:cs="Times New Roman"/>
                <w:kern w:val="0"/>
                <w:szCs w:val="21"/>
              </w:rPr>
            </w:pPr>
          </w:p>
        </w:tc>
        <w:tc>
          <w:tcPr>
            <w:tcW w:w="1320" w:type="dxa"/>
            <w:vMerge w:val="continue"/>
            <w:vAlign w:val="center"/>
          </w:tcPr>
          <w:p w14:paraId="6FFD13FF">
            <w:pPr>
              <w:widowControl/>
              <w:jc w:val="left"/>
              <w:rPr>
                <w:rFonts w:ascii="Times New Roman" w:hAnsi="Times New Roman" w:eastAsia="仿宋_GB2312" w:cs="Times New Roman"/>
                <w:kern w:val="0"/>
                <w:szCs w:val="21"/>
              </w:rPr>
            </w:pPr>
          </w:p>
        </w:tc>
        <w:tc>
          <w:tcPr>
            <w:tcW w:w="2000" w:type="dxa"/>
            <w:vMerge w:val="continue"/>
            <w:vAlign w:val="center"/>
          </w:tcPr>
          <w:p w14:paraId="16F01768">
            <w:pPr>
              <w:widowControl/>
              <w:jc w:val="left"/>
              <w:rPr>
                <w:rFonts w:ascii="Times New Roman" w:hAnsi="Times New Roman" w:eastAsia="仿宋_GB2312" w:cs="Times New Roman"/>
                <w:kern w:val="0"/>
                <w:szCs w:val="21"/>
              </w:rPr>
            </w:pPr>
          </w:p>
        </w:tc>
        <w:tc>
          <w:tcPr>
            <w:tcW w:w="2000" w:type="dxa"/>
            <w:vMerge w:val="continue"/>
            <w:vAlign w:val="center"/>
          </w:tcPr>
          <w:p w14:paraId="09F6A3C4">
            <w:pPr>
              <w:widowControl/>
              <w:jc w:val="left"/>
              <w:rPr>
                <w:rFonts w:ascii="Times New Roman" w:hAnsi="Times New Roman" w:eastAsia="仿宋_GB2312" w:cs="Times New Roman"/>
                <w:kern w:val="0"/>
                <w:szCs w:val="21"/>
              </w:rPr>
            </w:pPr>
          </w:p>
        </w:tc>
        <w:tc>
          <w:tcPr>
            <w:tcW w:w="2000" w:type="dxa"/>
            <w:vMerge w:val="continue"/>
            <w:vAlign w:val="center"/>
          </w:tcPr>
          <w:p w14:paraId="43273B35">
            <w:pPr>
              <w:widowControl/>
              <w:jc w:val="left"/>
              <w:rPr>
                <w:rFonts w:ascii="Times New Roman" w:hAnsi="Times New Roman" w:eastAsia="仿宋_GB2312" w:cs="Times New Roman"/>
                <w:kern w:val="0"/>
                <w:szCs w:val="21"/>
              </w:rPr>
            </w:pPr>
          </w:p>
        </w:tc>
        <w:tc>
          <w:tcPr>
            <w:tcW w:w="2000" w:type="dxa"/>
            <w:vMerge w:val="continue"/>
            <w:vAlign w:val="center"/>
          </w:tcPr>
          <w:p w14:paraId="26EF603D">
            <w:pPr>
              <w:widowControl/>
              <w:jc w:val="left"/>
              <w:rPr>
                <w:rFonts w:ascii="Times New Roman" w:hAnsi="Times New Roman" w:eastAsia="仿宋_GB2312" w:cs="Times New Roman"/>
                <w:kern w:val="0"/>
                <w:szCs w:val="21"/>
              </w:rPr>
            </w:pPr>
          </w:p>
        </w:tc>
        <w:tc>
          <w:tcPr>
            <w:tcW w:w="2000" w:type="dxa"/>
            <w:vMerge w:val="continue"/>
            <w:vAlign w:val="center"/>
          </w:tcPr>
          <w:p w14:paraId="628BFFA4">
            <w:pPr>
              <w:widowControl/>
              <w:jc w:val="left"/>
              <w:rPr>
                <w:rFonts w:ascii="Times New Roman" w:hAnsi="Times New Roman" w:eastAsia="仿宋_GB2312" w:cs="Times New Roman"/>
                <w:kern w:val="0"/>
                <w:szCs w:val="21"/>
              </w:rPr>
            </w:pPr>
          </w:p>
        </w:tc>
        <w:tc>
          <w:tcPr>
            <w:tcW w:w="2000" w:type="dxa"/>
            <w:vMerge w:val="continue"/>
            <w:vAlign w:val="center"/>
          </w:tcPr>
          <w:p w14:paraId="00169574">
            <w:pPr>
              <w:widowControl/>
              <w:jc w:val="left"/>
              <w:rPr>
                <w:rFonts w:ascii="Times New Roman" w:hAnsi="Times New Roman" w:eastAsia="仿宋_GB2312" w:cs="Times New Roman"/>
                <w:kern w:val="0"/>
                <w:szCs w:val="21"/>
              </w:rPr>
            </w:pPr>
          </w:p>
        </w:tc>
      </w:tr>
      <w:tr w14:paraId="13A144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0EA43D6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14:paraId="4274BD8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14:paraId="1A78625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14:paraId="45C14AA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14:paraId="23427B8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14:paraId="1D1718B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14:paraId="28DAAD9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14:paraId="749823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7DB66AE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14:paraId="1527734D">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14:paraId="79190CF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14:paraId="68442D9F">
            <w:pPr>
              <w:widowControl/>
              <w:jc w:val="center"/>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14:paraId="2BDFB16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14:paraId="612343D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c>
          <w:tcPr>
            <w:tcW w:w="2000" w:type="dxa"/>
            <w:shd w:val="clear" w:color="auto" w:fill="auto"/>
            <w:vAlign w:val="center"/>
          </w:tcPr>
          <w:p w14:paraId="5CE18DA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r>
              <w:rPr>
                <w:rFonts w:ascii="Times New Roman" w:hAnsi="Times New Roman" w:eastAsia="仿宋_GB2312" w:cs="Times New Roman"/>
                <w:kern w:val="0"/>
                <w:szCs w:val="21"/>
              </w:rPr>
              <w:t>　</w:t>
            </w:r>
          </w:p>
        </w:tc>
      </w:tr>
      <w:tr w14:paraId="60AD87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46578F4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7140B1B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67902FA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532EE98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03EE80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695536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8390B2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8B55BC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C8381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3B5BD78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385E8DE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279CCC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B375F5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EBF4D5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D27023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1A4D0E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E30F8E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70A97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0256F4D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1B40C28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6E00FA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131280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44EEB2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B71417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37DDB3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446F06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6ED3D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6671F72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0482F4B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5E377BA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48DC40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6A6955E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85F541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0F8A66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36D3E8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D421E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35FDF7E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0BF73B6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9724E1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0F3A8C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01A364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5A5AA57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232ABC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2B427A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3A862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67D90E2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795199D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F3CC84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5B636E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717D14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99CFB0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C04C06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5276898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524E49F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14:paraId="53D629A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w:t>
      </w:r>
      <w:r>
        <w:rPr>
          <w:rFonts w:hint="eastAsia" w:ascii="Times New Roman" w:hAnsi="Times New Roman" w:eastAsia="仿宋_GB2312" w:cs="Times New Roman"/>
          <w:color w:val="000000"/>
          <w:kern w:val="0"/>
          <w:szCs w:val="21"/>
          <w:lang w:eastAsia="zh-CN"/>
        </w:rPr>
        <w:t>湖南省地质矿产勘查开发局四〇二队</w:t>
      </w:r>
      <w:r>
        <w:rPr>
          <w:rFonts w:hint="eastAsia" w:ascii="Times New Roman" w:hAnsi="Times New Roman" w:eastAsia="仿宋_GB2312" w:cs="Times New Roman"/>
          <w:kern w:val="0"/>
          <w:szCs w:val="21"/>
        </w:rPr>
        <w:t>没有政府性基金收入，也没有使用政府性基金安排的支出，故本表无数据</w:t>
      </w:r>
      <w:r>
        <w:rPr>
          <w:rFonts w:ascii="Times New Roman" w:hAnsi="Times New Roman" w:eastAsia="仿宋_GB2312" w:cs="Times New Roman"/>
          <w:kern w:val="0"/>
          <w:szCs w:val="21"/>
        </w:rPr>
        <w:t>)。</w:t>
      </w:r>
    </w:p>
    <w:p w14:paraId="17C11A6B">
      <w:pPr>
        <w:widowControl/>
        <w:jc w:val="left"/>
        <w:rPr>
          <w:rFonts w:ascii="黑体" w:hAnsi="黑体" w:eastAsia="黑体"/>
          <w:szCs w:val="21"/>
        </w:rPr>
      </w:pPr>
      <w:r>
        <w:rPr>
          <w:rFonts w:ascii="黑体" w:hAnsi="黑体" w:eastAsia="黑体"/>
          <w:szCs w:val="21"/>
        </w:rPr>
        <w:br w:type="page"/>
      </w:r>
    </w:p>
    <w:tbl>
      <w:tblPr>
        <w:tblStyle w:val="5"/>
        <w:tblW w:w="13891" w:type="dxa"/>
        <w:tblInd w:w="959" w:type="dxa"/>
        <w:tblLayout w:type="autofit"/>
        <w:tblCellMar>
          <w:top w:w="0" w:type="dxa"/>
          <w:left w:w="108" w:type="dxa"/>
          <w:bottom w:w="0" w:type="dxa"/>
          <w:right w:w="108" w:type="dxa"/>
        </w:tblCellMar>
      </w:tblPr>
      <w:tblGrid>
        <w:gridCol w:w="1042"/>
        <w:gridCol w:w="91"/>
        <w:gridCol w:w="449"/>
        <w:gridCol w:w="585"/>
        <w:gridCol w:w="2026"/>
        <w:gridCol w:w="441"/>
        <w:gridCol w:w="1169"/>
        <w:gridCol w:w="815"/>
        <w:gridCol w:w="1663"/>
        <w:gridCol w:w="1216"/>
        <w:gridCol w:w="4294"/>
        <w:gridCol w:w="100"/>
      </w:tblGrid>
      <w:tr w14:paraId="0AA8D9F2">
        <w:tblPrEx>
          <w:tblCellMar>
            <w:top w:w="0" w:type="dxa"/>
            <w:left w:w="108" w:type="dxa"/>
            <w:bottom w:w="0" w:type="dxa"/>
            <w:right w:w="108" w:type="dxa"/>
          </w:tblCellMar>
        </w:tblPrEx>
        <w:trPr>
          <w:trHeight w:val="1272" w:hRule="atLeast"/>
        </w:trPr>
        <w:tc>
          <w:tcPr>
            <w:tcW w:w="13891" w:type="dxa"/>
            <w:gridSpan w:val="12"/>
            <w:tcBorders>
              <w:top w:val="nil"/>
              <w:left w:val="nil"/>
              <w:bottom w:val="nil"/>
              <w:right w:val="nil"/>
            </w:tcBorders>
            <w:shd w:val="clear" w:color="000000" w:fill="FFFFFF"/>
            <w:vAlign w:val="center"/>
          </w:tcPr>
          <w:p w14:paraId="5016C3CB">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14:paraId="0E4279CF">
        <w:tblPrEx>
          <w:tblCellMar>
            <w:top w:w="0" w:type="dxa"/>
            <w:left w:w="108" w:type="dxa"/>
            <w:bottom w:w="0" w:type="dxa"/>
            <w:right w:w="108" w:type="dxa"/>
          </w:tblCellMar>
        </w:tblPrEx>
        <w:trPr>
          <w:gridAfter w:val="1"/>
          <w:wAfter w:w="100" w:type="dxa"/>
          <w:trHeight w:val="336" w:hRule="atLeast"/>
        </w:trPr>
        <w:tc>
          <w:tcPr>
            <w:tcW w:w="1042" w:type="dxa"/>
            <w:tcBorders>
              <w:top w:val="nil"/>
              <w:left w:val="nil"/>
              <w:bottom w:val="nil"/>
              <w:right w:val="nil"/>
            </w:tcBorders>
            <w:shd w:val="clear" w:color="000000" w:fill="FFFFFF"/>
            <w:vAlign w:val="center"/>
          </w:tcPr>
          <w:p w14:paraId="4FADA5C4">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40" w:type="dxa"/>
            <w:gridSpan w:val="2"/>
            <w:tcBorders>
              <w:top w:val="nil"/>
              <w:left w:val="nil"/>
              <w:bottom w:val="nil"/>
              <w:right w:val="nil"/>
            </w:tcBorders>
            <w:shd w:val="clear" w:color="000000" w:fill="FFFFFF"/>
            <w:vAlign w:val="center"/>
          </w:tcPr>
          <w:p w14:paraId="29E2BA6F">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052" w:type="dxa"/>
            <w:gridSpan w:val="3"/>
            <w:tcBorders>
              <w:top w:val="nil"/>
              <w:left w:val="nil"/>
              <w:bottom w:val="nil"/>
              <w:right w:val="nil"/>
            </w:tcBorders>
            <w:shd w:val="clear" w:color="000000" w:fill="FFFFFF"/>
            <w:vAlign w:val="center"/>
          </w:tcPr>
          <w:p w14:paraId="63FD1274">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169" w:type="dxa"/>
            <w:tcBorders>
              <w:top w:val="nil"/>
              <w:left w:val="nil"/>
              <w:bottom w:val="nil"/>
              <w:right w:val="nil"/>
            </w:tcBorders>
            <w:shd w:val="clear" w:color="000000" w:fill="FFFFFF"/>
            <w:vAlign w:val="center"/>
          </w:tcPr>
          <w:p w14:paraId="270BA11C">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478" w:type="dxa"/>
            <w:gridSpan w:val="2"/>
            <w:tcBorders>
              <w:top w:val="nil"/>
              <w:left w:val="nil"/>
              <w:bottom w:val="nil"/>
              <w:right w:val="nil"/>
            </w:tcBorders>
            <w:shd w:val="clear" w:color="000000" w:fill="FFFFFF"/>
            <w:vAlign w:val="center"/>
          </w:tcPr>
          <w:p w14:paraId="5E2FDD9A">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14:paraId="63D1105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14:paraId="16F59C15">
        <w:tblPrEx>
          <w:tblCellMar>
            <w:top w:w="0" w:type="dxa"/>
            <w:left w:w="108" w:type="dxa"/>
            <w:bottom w:w="0" w:type="dxa"/>
            <w:right w:w="108" w:type="dxa"/>
          </w:tblCellMar>
        </w:tblPrEx>
        <w:trPr>
          <w:gridAfter w:val="1"/>
          <w:wAfter w:w="100" w:type="dxa"/>
          <w:trHeight w:val="540" w:hRule="atLeast"/>
        </w:trPr>
        <w:tc>
          <w:tcPr>
            <w:tcW w:w="4634" w:type="dxa"/>
            <w:gridSpan w:val="6"/>
            <w:tcBorders>
              <w:top w:val="nil"/>
              <w:left w:val="nil"/>
              <w:bottom w:val="nil"/>
              <w:right w:val="nil"/>
            </w:tcBorders>
            <w:shd w:val="clear" w:color="000000" w:fill="FFFFFF"/>
            <w:noWrap/>
            <w:vAlign w:val="center"/>
          </w:tcPr>
          <w:p w14:paraId="73E86423">
            <w:pPr>
              <w:widowControl/>
              <w:jc w:val="left"/>
              <w:rPr>
                <w:rFonts w:ascii="宋体" w:hAnsi="宋体" w:eastAsia="宋体" w:cs="宋体"/>
                <w:kern w:val="0"/>
                <w:sz w:val="20"/>
                <w:szCs w:val="20"/>
              </w:rPr>
            </w:pPr>
            <w:r>
              <w:rPr>
                <w:rFonts w:hint="eastAsia" w:ascii="宋体" w:hAnsi="宋体" w:eastAsia="宋体" w:cs="宋体"/>
                <w:color w:val="000000"/>
                <w:kern w:val="0"/>
                <w:sz w:val="20"/>
                <w:szCs w:val="20"/>
              </w:rPr>
              <w:t>部门：</w:t>
            </w:r>
            <w:r>
              <w:rPr>
                <w:rFonts w:hint="eastAsia" w:ascii="Times New Roman" w:hAnsi="Times New Roman" w:eastAsia="仿宋_GB2312" w:cs="Times New Roman"/>
                <w:color w:val="000000"/>
                <w:kern w:val="0"/>
                <w:szCs w:val="21"/>
                <w:lang w:eastAsia="zh-CN"/>
              </w:rPr>
              <w:t>湖南省地质矿产勘查开发局四〇二队</w:t>
            </w:r>
          </w:p>
        </w:tc>
        <w:tc>
          <w:tcPr>
            <w:tcW w:w="1169" w:type="dxa"/>
            <w:tcBorders>
              <w:top w:val="nil"/>
              <w:left w:val="nil"/>
              <w:bottom w:val="single" w:color="auto" w:sz="8" w:space="0"/>
              <w:right w:val="nil"/>
            </w:tcBorders>
            <w:shd w:val="clear" w:color="000000" w:fill="FFFFFF"/>
            <w:vAlign w:val="center"/>
          </w:tcPr>
          <w:p w14:paraId="196FC6F2">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478" w:type="dxa"/>
            <w:gridSpan w:val="2"/>
            <w:tcBorders>
              <w:top w:val="nil"/>
              <w:left w:val="nil"/>
              <w:bottom w:val="single" w:color="auto" w:sz="8" w:space="0"/>
              <w:right w:val="nil"/>
            </w:tcBorders>
            <w:shd w:val="clear" w:color="000000" w:fill="FFFFFF"/>
            <w:vAlign w:val="center"/>
          </w:tcPr>
          <w:p w14:paraId="2135DCC5">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14:paraId="74F21A8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159E2A31">
        <w:tblPrEx>
          <w:tblCellMar>
            <w:top w:w="0" w:type="dxa"/>
            <w:left w:w="108" w:type="dxa"/>
            <w:bottom w:w="0" w:type="dxa"/>
            <w:right w:w="108" w:type="dxa"/>
          </w:tblCellMar>
        </w:tblPrEx>
        <w:trPr>
          <w:trHeight w:val="402" w:hRule="atLeast"/>
        </w:trPr>
        <w:tc>
          <w:tcPr>
            <w:tcW w:w="4193" w:type="dxa"/>
            <w:gridSpan w:val="5"/>
            <w:tcBorders>
              <w:top w:val="single" w:color="auto" w:sz="8" w:space="0"/>
              <w:left w:val="single" w:color="auto" w:sz="8" w:space="0"/>
              <w:bottom w:val="single" w:color="auto" w:sz="4" w:space="0"/>
              <w:right w:val="single" w:color="auto" w:sz="4" w:space="0"/>
            </w:tcBorders>
            <w:shd w:val="clear" w:color="auto" w:fill="auto"/>
            <w:vAlign w:val="center"/>
          </w:tcPr>
          <w:p w14:paraId="50698983">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698" w:type="dxa"/>
            <w:gridSpan w:val="7"/>
            <w:tcBorders>
              <w:top w:val="single" w:color="auto" w:sz="8" w:space="0"/>
              <w:left w:val="nil"/>
              <w:bottom w:val="single" w:color="auto" w:sz="4" w:space="0"/>
              <w:right w:val="single" w:color="000000" w:sz="4" w:space="0"/>
            </w:tcBorders>
            <w:shd w:val="clear" w:color="auto" w:fill="auto"/>
            <w:vAlign w:val="center"/>
          </w:tcPr>
          <w:p w14:paraId="37BD4A41">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14:paraId="7091C34C">
        <w:tblPrEx>
          <w:tblCellMar>
            <w:top w:w="0" w:type="dxa"/>
            <w:left w:w="108" w:type="dxa"/>
            <w:bottom w:w="0" w:type="dxa"/>
            <w:right w:w="108" w:type="dxa"/>
          </w:tblCellMar>
        </w:tblPrEx>
        <w:trPr>
          <w:trHeight w:val="402" w:hRule="atLeast"/>
        </w:trPr>
        <w:tc>
          <w:tcPr>
            <w:tcW w:w="2167" w:type="dxa"/>
            <w:gridSpan w:val="4"/>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4B5FC706">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026" w:type="dxa"/>
            <w:vMerge w:val="restart"/>
            <w:tcBorders>
              <w:top w:val="nil"/>
              <w:left w:val="single" w:color="auto" w:sz="4" w:space="0"/>
              <w:bottom w:val="single" w:color="auto" w:sz="4" w:space="0"/>
              <w:right w:val="single" w:color="auto" w:sz="4" w:space="0"/>
            </w:tcBorders>
            <w:shd w:val="clear" w:color="auto" w:fill="auto"/>
            <w:vAlign w:val="center"/>
          </w:tcPr>
          <w:p w14:paraId="47F6116E">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425" w:type="dxa"/>
            <w:gridSpan w:val="3"/>
            <w:vMerge w:val="restart"/>
            <w:tcBorders>
              <w:top w:val="nil"/>
              <w:left w:val="single" w:color="auto" w:sz="4" w:space="0"/>
              <w:bottom w:val="single" w:color="000000" w:sz="4" w:space="0"/>
              <w:right w:val="single" w:color="auto" w:sz="4" w:space="0"/>
            </w:tcBorders>
            <w:shd w:val="clear" w:color="auto" w:fill="auto"/>
            <w:vAlign w:val="center"/>
          </w:tcPr>
          <w:p w14:paraId="3C841B4C">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879"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3EE7BA8A">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4394"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6F789745">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14:paraId="16B0D3DA">
        <w:tblPrEx>
          <w:tblCellMar>
            <w:top w:w="0" w:type="dxa"/>
            <w:left w:w="108" w:type="dxa"/>
            <w:bottom w:w="0" w:type="dxa"/>
            <w:right w:w="108" w:type="dxa"/>
          </w:tblCellMar>
        </w:tblPrEx>
        <w:trPr>
          <w:trHeight w:val="402" w:hRule="atLeast"/>
        </w:trPr>
        <w:tc>
          <w:tcPr>
            <w:tcW w:w="2167" w:type="dxa"/>
            <w:gridSpan w:val="4"/>
            <w:vMerge w:val="continue"/>
            <w:tcBorders>
              <w:top w:val="single" w:color="auto" w:sz="4" w:space="0"/>
              <w:left w:val="single" w:color="auto" w:sz="8" w:space="0"/>
              <w:bottom w:val="single" w:color="auto" w:sz="4" w:space="0"/>
              <w:right w:val="single" w:color="auto" w:sz="4" w:space="0"/>
            </w:tcBorders>
            <w:vAlign w:val="center"/>
          </w:tcPr>
          <w:p w14:paraId="3D96ACAF">
            <w:pPr>
              <w:widowControl/>
              <w:jc w:val="left"/>
              <w:rPr>
                <w:rFonts w:ascii="宋体" w:hAnsi="宋体" w:eastAsia="宋体" w:cs="宋体"/>
                <w:kern w:val="0"/>
                <w:sz w:val="24"/>
                <w:szCs w:val="24"/>
              </w:rPr>
            </w:pPr>
          </w:p>
        </w:tc>
        <w:tc>
          <w:tcPr>
            <w:tcW w:w="2026" w:type="dxa"/>
            <w:vMerge w:val="continue"/>
            <w:tcBorders>
              <w:top w:val="nil"/>
              <w:left w:val="single" w:color="auto" w:sz="4" w:space="0"/>
              <w:bottom w:val="single" w:color="auto" w:sz="4" w:space="0"/>
              <w:right w:val="single" w:color="auto" w:sz="4" w:space="0"/>
            </w:tcBorders>
            <w:vAlign w:val="center"/>
          </w:tcPr>
          <w:p w14:paraId="5AE683D8">
            <w:pPr>
              <w:widowControl/>
              <w:jc w:val="left"/>
              <w:rPr>
                <w:rFonts w:ascii="宋体" w:hAnsi="宋体" w:eastAsia="宋体" w:cs="宋体"/>
                <w:kern w:val="0"/>
                <w:sz w:val="24"/>
                <w:szCs w:val="24"/>
              </w:rPr>
            </w:pPr>
          </w:p>
        </w:tc>
        <w:tc>
          <w:tcPr>
            <w:tcW w:w="2425" w:type="dxa"/>
            <w:gridSpan w:val="3"/>
            <w:vMerge w:val="continue"/>
            <w:tcBorders>
              <w:top w:val="nil"/>
              <w:left w:val="single" w:color="auto" w:sz="4" w:space="0"/>
              <w:bottom w:val="single" w:color="000000" w:sz="4" w:space="0"/>
              <w:right w:val="single" w:color="auto" w:sz="4" w:space="0"/>
            </w:tcBorders>
            <w:vAlign w:val="center"/>
          </w:tcPr>
          <w:p w14:paraId="5EC014E0">
            <w:pPr>
              <w:widowControl/>
              <w:jc w:val="left"/>
              <w:rPr>
                <w:rFonts w:ascii="宋体" w:hAnsi="宋体" w:eastAsia="宋体" w:cs="宋体"/>
                <w:kern w:val="0"/>
                <w:sz w:val="24"/>
                <w:szCs w:val="24"/>
              </w:rPr>
            </w:pPr>
          </w:p>
        </w:tc>
        <w:tc>
          <w:tcPr>
            <w:tcW w:w="2879" w:type="dxa"/>
            <w:gridSpan w:val="2"/>
            <w:vMerge w:val="continue"/>
            <w:tcBorders>
              <w:top w:val="nil"/>
              <w:left w:val="single" w:color="auto" w:sz="4" w:space="0"/>
              <w:bottom w:val="single" w:color="000000" w:sz="4" w:space="0"/>
              <w:right w:val="single" w:color="auto" w:sz="4" w:space="0"/>
            </w:tcBorders>
            <w:vAlign w:val="center"/>
          </w:tcPr>
          <w:p w14:paraId="7BAD3A58">
            <w:pPr>
              <w:widowControl/>
              <w:jc w:val="left"/>
              <w:rPr>
                <w:rFonts w:ascii="宋体" w:hAnsi="宋体" w:eastAsia="宋体" w:cs="宋体"/>
                <w:kern w:val="0"/>
                <w:sz w:val="24"/>
                <w:szCs w:val="24"/>
              </w:rPr>
            </w:pPr>
          </w:p>
        </w:tc>
        <w:tc>
          <w:tcPr>
            <w:tcW w:w="4394" w:type="dxa"/>
            <w:gridSpan w:val="2"/>
            <w:vMerge w:val="continue"/>
            <w:tcBorders>
              <w:top w:val="nil"/>
              <w:left w:val="single" w:color="auto" w:sz="4" w:space="0"/>
              <w:bottom w:val="single" w:color="000000" w:sz="4" w:space="0"/>
              <w:right w:val="single" w:color="auto" w:sz="4" w:space="0"/>
            </w:tcBorders>
            <w:vAlign w:val="center"/>
          </w:tcPr>
          <w:p w14:paraId="3114DAE4">
            <w:pPr>
              <w:widowControl/>
              <w:jc w:val="left"/>
              <w:rPr>
                <w:rFonts w:ascii="宋体" w:hAnsi="宋体" w:eastAsia="宋体" w:cs="宋体"/>
                <w:kern w:val="0"/>
                <w:sz w:val="24"/>
                <w:szCs w:val="24"/>
              </w:rPr>
            </w:pPr>
          </w:p>
        </w:tc>
      </w:tr>
      <w:tr w14:paraId="41ABF091">
        <w:tblPrEx>
          <w:tblCellMar>
            <w:top w:w="0" w:type="dxa"/>
            <w:left w:w="108" w:type="dxa"/>
            <w:bottom w:w="0" w:type="dxa"/>
            <w:right w:w="108" w:type="dxa"/>
          </w:tblCellMar>
        </w:tblPrEx>
        <w:trPr>
          <w:trHeight w:val="402" w:hRule="atLeast"/>
        </w:trPr>
        <w:tc>
          <w:tcPr>
            <w:tcW w:w="2167" w:type="dxa"/>
            <w:gridSpan w:val="4"/>
            <w:vMerge w:val="continue"/>
            <w:tcBorders>
              <w:top w:val="single" w:color="auto" w:sz="4" w:space="0"/>
              <w:left w:val="single" w:color="auto" w:sz="8" w:space="0"/>
              <w:bottom w:val="single" w:color="auto" w:sz="4" w:space="0"/>
              <w:right w:val="single" w:color="auto" w:sz="4" w:space="0"/>
            </w:tcBorders>
            <w:vAlign w:val="center"/>
          </w:tcPr>
          <w:p w14:paraId="78BA5149">
            <w:pPr>
              <w:widowControl/>
              <w:jc w:val="left"/>
              <w:rPr>
                <w:rFonts w:ascii="宋体" w:hAnsi="宋体" w:eastAsia="宋体" w:cs="宋体"/>
                <w:kern w:val="0"/>
                <w:sz w:val="24"/>
                <w:szCs w:val="24"/>
              </w:rPr>
            </w:pPr>
          </w:p>
        </w:tc>
        <w:tc>
          <w:tcPr>
            <w:tcW w:w="2026" w:type="dxa"/>
            <w:vMerge w:val="continue"/>
            <w:tcBorders>
              <w:top w:val="nil"/>
              <w:left w:val="single" w:color="auto" w:sz="4" w:space="0"/>
              <w:bottom w:val="single" w:color="auto" w:sz="4" w:space="0"/>
              <w:right w:val="single" w:color="auto" w:sz="4" w:space="0"/>
            </w:tcBorders>
            <w:vAlign w:val="center"/>
          </w:tcPr>
          <w:p w14:paraId="66C2E22B">
            <w:pPr>
              <w:widowControl/>
              <w:jc w:val="left"/>
              <w:rPr>
                <w:rFonts w:ascii="宋体" w:hAnsi="宋体" w:eastAsia="宋体" w:cs="宋体"/>
                <w:kern w:val="0"/>
                <w:sz w:val="24"/>
                <w:szCs w:val="24"/>
              </w:rPr>
            </w:pPr>
          </w:p>
        </w:tc>
        <w:tc>
          <w:tcPr>
            <w:tcW w:w="2425" w:type="dxa"/>
            <w:gridSpan w:val="3"/>
            <w:vMerge w:val="continue"/>
            <w:tcBorders>
              <w:top w:val="nil"/>
              <w:left w:val="single" w:color="auto" w:sz="4" w:space="0"/>
              <w:bottom w:val="single" w:color="000000" w:sz="4" w:space="0"/>
              <w:right w:val="single" w:color="auto" w:sz="4" w:space="0"/>
            </w:tcBorders>
            <w:vAlign w:val="center"/>
          </w:tcPr>
          <w:p w14:paraId="5C336069">
            <w:pPr>
              <w:widowControl/>
              <w:jc w:val="left"/>
              <w:rPr>
                <w:rFonts w:ascii="宋体" w:hAnsi="宋体" w:eastAsia="宋体" w:cs="宋体"/>
                <w:kern w:val="0"/>
                <w:sz w:val="24"/>
                <w:szCs w:val="24"/>
              </w:rPr>
            </w:pPr>
          </w:p>
        </w:tc>
        <w:tc>
          <w:tcPr>
            <w:tcW w:w="2879" w:type="dxa"/>
            <w:gridSpan w:val="2"/>
            <w:vMerge w:val="continue"/>
            <w:tcBorders>
              <w:top w:val="nil"/>
              <w:left w:val="single" w:color="auto" w:sz="4" w:space="0"/>
              <w:bottom w:val="single" w:color="000000" w:sz="4" w:space="0"/>
              <w:right w:val="single" w:color="auto" w:sz="4" w:space="0"/>
            </w:tcBorders>
            <w:vAlign w:val="center"/>
          </w:tcPr>
          <w:p w14:paraId="17CD9928">
            <w:pPr>
              <w:widowControl/>
              <w:jc w:val="left"/>
              <w:rPr>
                <w:rFonts w:ascii="宋体" w:hAnsi="宋体" w:eastAsia="宋体" w:cs="宋体"/>
                <w:kern w:val="0"/>
                <w:sz w:val="24"/>
                <w:szCs w:val="24"/>
              </w:rPr>
            </w:pPr>
          </w:p>
        </w:tc>
        <w:tc>
          <w:tcPr>
            <w:tcW w:w="4394" w:type="dxa"/>
            <w:gridSpan w:val="2"/>
            <w:vMerge w:val="continue"/>
            <w:tcBorders>
              <w:top w:val="nil"/>
              <w:left w:val="single" w:color="auto" w:sz="4" w:space="0"/>
              <w:bottom w:val="single" w:color="000000" w:sz="4" w:space="0"/>
              <w:right w:val="single" w:color="auto" w:sz="4" w:space="0"/>
            </w:tcBorders>
            <w:vAlign w:val="center"/>
          </w:tcPr>
          <w:p w14:paraId="312EACC2">
            <w:pPr>
              <w:widowControl/>
              <w:jc w:val="left"/>
              <w:rPr>
                <w:rFonts w:ascii="宋体" w:hAnsi="宋体" w:eastAsia="宋体" w:cs="宋体"/>
                <w:kern w:val="0"/>
                <w:sz w:val="24"/>
                <w:szCs w:val="24"/>
              </w:rPr>
            </w:pPr>
          </w:p>
        </w:tc>
      </w:tr>
      <w:tr w14:paraId="68DA02B7">
        <w:tblPrEx>
          <w:tblCellMar>
            <w:top w:w="0" w:type="dxa"/>
            <w:left w:w="108" w:type="dxa"/>
            <w:bottom w:w="0" w:type="dxa"/>
            <w:right w:w="108" w:type="dxa"/>
          </w:tblCellMar>
        </w:tblPrEx>
        <w:trPr>
          <w:trHeight w:val="402" w:hRule="atLeast"/>
        </w:trPr>
        <w:tc>
          <w:tcPr>
            <w:tcW w:w="4193" w:type="dxa"/>
            <w:gridSpan w:val="5"/>
            <w:tcBorders>
              <w:top w:val="single" w:color="auto" w:sz="4" w:space="0"/>
              <w:left w:val="single" w:color="auto" w:sz="8" w:space="0"/>
              <w:bottom w:val="single" w:color="auto" w:sz="4" w:space="0"/>
              <w:right w:val="single" w:color="000000" w:sz="4" w:space="0"/>
            </w:tcBorders>
            <w:shd w:val="clear" w:color="auto" w:fill="auto"/>
            <w:vAlign w:val="center"/>
          </w:tcPr>
          <w:p w14:paraId="131FA0B1">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425" w:type="dxa"/>
            <w:gridSpan w:val="3"/>
            <w:tcBorders>
              <w:top w:val="nil"/>
              <w:left w:val="nil"/>
              <w:bottom w:val="single" w:color="auto" w:sz="4" w:space="0"/>
              <w:right w:val="single" w:color="auto" w:sz="4" w:space="0"/>
            </w:tcBorders>
            <w:shd w:val="clear" w:color="auto" w:fill="auto"/>
            <w:vAlign w:val="center"/>
          </w:tcPr>
          <w:p w14:paraId="227AD8F2">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879" w:type="dxa"/>
            <w:gridSpan w:val="2"/>
            <w:tcBorders>
              <w:top w:val="nil"/>
              <w:left w:val="nil"/>
              <w:bottom w:val="single" w:color="auto" w:sz="4" w:space="0"/>
              <w:right w:val="single" w:color="auto" w:sz="4" w:space="0"/>
            </w:tcBorders>
            <w:shd w:val="clear" w:color="auto" w:fill="auto"/>
            <w:vAlign w:val="center"/>
          </w:tcPr>
          <w:p w14:paraId="42B18493">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4394" w:type="dxa"/>
            <w:gridSpan w:val="2"/>
            <w:tcBorders>
              <w:top w:val="nil"/>
              <w:left w:val="nil"/>
              <w:bottom w:val="single" w:color="auto" w:sz="4" w:space="0"/>
              <w:right w:val="single" w:color="auto" w:sz="4" w:space="0"/>
            </w:tcBorders>
            <w:shd w:val="clear" w:color="auto" w:fill="auto"/>
            <w:vAlign w:val="center"/>
          </w:tcPr>
          <w:p w14:paraId="15541BF6">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14:paraId="0B5DFD22">
        <w:tblPrEx>
          <w:tblCellMar>
            <w:top w:w="0" w:type="dxa"/>
            <w:left w:w="108" w:type="dxa"/>
            <w:bottom w:w="0" w:type="dxa"/>
            <w:right w:w="108" w:type="dxa"/>
          </w:tblCellMar>
        </w:tblPrEx>
        <w:trPr>
          <w:trHeight w:val="402" w:hRule="atLeast"/>
        </w:trPr>
        <w:tc>
          <w:tcPr>
            <w:tcW w:w="4193" w:type="dxa"/>
            <w:gridSpan w:val="5"/>
            <w:tcBorders>
              <w:top w:val="nil"/>
              <w:left w:val="single" w:color="auto" w:sz="8" w:space="0"/>
              <w:bottom w:val="single" w:color="auto" w:sz="4" w:space="0"/>
              <w:right w:val="single" w:color="000000" w:sz="4" w:space="0"/>
            </w:tcBorders>
            <w:shd w:val="clear" w:color="auto" w:fill="auto"/>
            <w:vAlign w:val="center"/>
          </w:tcPr>
          <w:p w14:paraId="7FEDF183">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425" w:type="dxa"/>
            <w:gridSpan w:val="3"/>
            <w:tcBorders>
              <w:top w:val="nil"/>
              <w:left w:val="nil"/>
              <w:bottom w:val="single" w:color="auto" w:sz="4" w:space="0"/>
              <w:right w:val="single" w:color="auto" w:sz="4" w:space="0"/>
            </w:tcBorders>
            <w:shd w:val="clear" w:color="auto" w:fill="auto"/>
            <w:vAlign w:val="center"/>
          </w:tcPr>
          <w:p w14:paraId="1A94565D">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c>
          <w:tcPr>
            <w:tcW w:w="2879" w:type="dxa"/>
            <w:gridSpan w:val="2"/>
            <w:tcBorders>
              <w:top w:val="nil"/>
              <w:left w:val="nil"/>
              <w:bottom w:val="single" w:color="auto" w:sz="4" w:space="0"/>
              <w:right w:val="single" w:color="auto" w:sz="4" w:space="0"/>
            </w:tcBorders>
            <w:shd w:val="clear" w:color="auto" w:fill="auto"/>
            <w:vAlign w:val="center"/>
          </w:tcPr>
          <w:p w14:paraId="49763CD6">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c>
          <w:tcPr>
            <w:tcW w:w="4394" w:type="dxa"/>
            <w:gridSpan w:val="2"/>
            <w:tcBorders>
              <w:top w:val="nil"/>
              <w:left w:val="nil"/>
              <w:bottom w:val="single" w:color="auto" w:sz="4" w:space="0"/>
              <w:right w:val="single" w:color="auto" w:sz="4" w:space="0"/>
            </w:tcBorders>
            <w:shd w:val="clear" w:color="auto" w:fill="auto"/>
            <w:vAlign w:val="center"/>
          </w:tcPr>
          <w:p w14:paraId="7DEF3AEA">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r>
      <w:tr w14:paraId="27CED297">
        <w:tblPrEx>
          <w:tblCellMar>
            <w:top w:w="0" w:type="dxa"/>
            <w:left w:w="108" w:type="dxa"/>
            <w:bottom w:w="0" w:type="dxa"/>
            <w:right w:w="108" w:type="dxa"/>
          </w:tblCellMar>
        </w:tblPrEx>
        <w:trPr>
          <w:trHeight w:val="402" w:hRule="atLeast"/>
        </w:trPr>
        <w:tc>
          <w:tcPr>
            <w:tcW w:w="113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99A44C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060" w:type="dxa"/>
            <w:gridSpan w:val="3"/>
            <w:tcBorders>
              <w:top w:val="nil"/>
              <w:left w:val="nil"/>
              <w:bottom w:val="single" w:color="auto" w:sz="4" w:space="0"/>
              <w:right w:val="single" w:color="auto" w:sz="4" w:space="0"/>
            </w:tcBorders>
            <w:shd w:val="clear" w:color="auto" w:fill="auto"/>
            <w:vAlign w:val="center"/>
          </w:tcPr>
          <w:p w14:paraId="6D22017C">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425" w:type="dxa"/>
            <w:gridSpan w:val="3"/>
            <w:tcBorders>
              <w:top w:val="nil"/>
              <w:left w:val="nil"/>
              <w:bottom w:val="single" w:color="auto" w:sz="4" w:space="0"/>
              <w:right w:val="single" w:color="auto" w:sz="4" w:space="0"/>
            </w:tcBorders>
            <w:shd w:val="clear" w:color="auto" w:fill="auto"/>
            <w:vAlign w:val="center"/>
          </w:tcPr>
          <w:p w14:paraId="30852003">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879" w:type="dxa"/>
            <w:gridSpan w:val="2"/>
            <w:tcBorders>
              <w:top w:val="nil"/>
              <w:left w:val="nil"/>
              <w:bottom w:val="single" w:color="auto" w:sz="4" w:space="0"/>
              <w:right w:val="single" w:color="auto" w:sz="4" w:space="0"/>
            </w:tcBorders>
            <w:shd w:val="clear" w:color="auto" w:fill="auto"/>
            <w:vAlign w:val="center"/>
          </w:tcPr>
          <w:p w14:paraId="081842FE">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4394" w:type="dxa"/>
            <w:gridSpan w:val="2"/>
            <w:tcBorders>
              <w:top w:val="nil"/>
              <w:left w:val="nil"/>
              <w:bottom w:val="single" w:color="auto" w:sz="4" w:space="0"/>
              <w:right w:val="single" w:color="auto" w:sz="4" w:space="0"/>
            </w:tcBorders>
            <w:shd w:val="clear" w:color="auto" w:fill="auto"/>
            <w:vAlign w:val="center"/>
          </w:tcPr>
          <w:p w14:paraId="6CC62E3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2973903E">
        <w:tblPrEx>
          <w:tblCellMar>
            <w:top w:w="0" w:type="dxa"/>
            <w:left w:w="108" w:type="dxa"/>
            <w:bottom w:w="0" w:type="dxa"/>
            <w:right w:w="108" w:type="dxa"/>
          </w:tblCellMar>
        </w:tblPrEx>
        <w:trPr>
          <w:trHeight w:val="402" w:hRule="atLeast"/>
        </w:trPr>
        <w:tc>
          <w:tcPr>
            <w:tcW w:w="113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A53CEE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060" w:type="dxa"/>
            <w:gridSpan w:val="3"/>
            <w:tcBorders>
              <w:top w:val="nil"/>
              <w:left w:val="nil"/>
              <w:bottom w:val="single" w:color="auto" w:sz="4" w:space="0"/>
              <w:right w:val="single" w:color="auto" w:sz="4" w:space="0"/>
            </w:tcBorders>
            <w:shd w:val="clear" w:color="auto" w:fill="auto"/>
            <w:vAlign w:val="center"/>
          </w:tcPr>
          <w:p w14:paraId="2B84915E">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425" w:type="dxa"/>
            <w:gridSpan w:val="3"/>
            <w:tcBorders>
              <w:top w:val="nil"/>
              <w:left w:val="nil"/>
              <w:bottom w:val="single" w:color="auto" w:sz="4" w:space="0"/>
              <w:right w:val="single" w:color="auto" w:sz="4" w:space="0"/>
            </w:tcBorders>
            <w:shd w:val="clear" w:color="auto" w:fill="auto"/>
            <w:vAlign w:val="center"/>
          </w:tcPr>
          <w:p w14:paraId="5475EE61">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879" w:type="dxa"/>
            <w:gridSpan w:val="2"/>
            <w:tcBorders>
              <w:top w:val="nil"/>
              <w:left w:val="nil"/>
              <w:bottom w:val="single" w:color="auto" w:sz="4" w:space="0"/>
              <w:right w:val="single" w:color="auto" w:sz="4" w:space="0"/>
            </w:tcBorders>
            <w:shd w:val="clear" w:color="auto" w:fill="auto"/>
            <w:vAlign w:val="center"/>
          </w:tcPr>
          <w:p w14:paraId="341FE7F7">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4394" w:type="dxa"/>
            <w:gridSpan w:val="2"/>
            <w:tcBorders>
              <w:top w:val="nil"/>
              <w:left w:val="nil"/>
              <w:bottom w:val="single" w:color="auto" w:sz="4" w:space="0"/>
              <w:right w:val="single" w:color="auto" w:sz="4" w:space="0"/>
            </w:tcBorders>
            <w:shd w:val="clear" w:color="auto" w:fill="auto"/>
            <w:vAlign w:val="center"/>
          </w:tcPr>
          <w:p w14:paraId="3B309F6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61C9523E">
        <w:tblPrEx>
          <w:tblCellMar>
            <w:top w:w="0" w:type="dxa"/>
            <w:left w:w="108" w:type="dxa"/>
            <w:bottom w:w="0" w:type="dxa"/>
            <w:right w:w="108" w:type="dxa"/>
          </w:tblCellMar>
        </w:tblPrEx>
        <w:trPr>
          <w:trHeight w:val="402" w:hRule="atLeast"/>
        </w:trPr>
        <w:tc>
          <w:tcPr>
            <w:tcW w:w="113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6C6700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060" w:type="dxa"/>
            <w:gridSpan w:val="3"/>
            <w:tcBorders>
              <w:top w:val="nil"/>
              <w:left w:val="nil"/>
              <w:bottom w:val="single" w:color="auto" w:sz="4" w:space="0"/>
              <w:right w:val="single" w:color="auto" w:sz="4" w:space="0"/>
            </w:tcBorders>
            <w:shd w:val="clear" w:color="auto" w:fill="auto"/>
            <w:vAlign w:val="center"/>
          </w:tcPr>
          <w:p w14:paraId="3399A53C">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425" w:type="dxa"/>
            <w:gridSpan w:val="3"/>
            <w:tcBorders>
              <w:top w:val="nil"/>
              <w:left w:val="nil"/>
              <w:bottom w:val="single" w:color="auto" w:sz="4" w:space="0"/>
              <w:right w:val="single" w:color="auto" w:sz="4" w:space="0"/>
            </w:tcBorders>
            <w:shd w:val="clear" w:color="auto" w:fill="auto"/>
            <w:vAlign w:val="center"/>
          </w:tcPr>
          <w:p w14:paraId="22664E3B">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879" w:type="dxa"/>
            <w:gridSpan w:val="2"/>
            <w:tcBorders>
              <w:top w:val="nil"/>
              <w:left w:val="nil"/>
              <w:bottom w:val="single" w:color="auto" w:sz="4" w:space="0"/>
              <w:right w:val="single" w:color="auto" w:sz="4" w:space="0"/>
            </w:tcBorders>
            <w:shd w:val="clear" w:color="auto" w:fill="auto"/>
            <w:vAlign w:val="center"/>
          </w:tcPr>
          <w:p w14:paraId="0FA1D652">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4394" w:type="dxa"/>
            <w:gridSpan w:val="2"/>
            <w:tcBorders>
              <w:top w:val="nil"/>
              <w:left w:val="nil"/>
              <w:bottom w:val="single" w:color="auto" w:sz="4" w:space="0"/>
              <w:right w:val="single" w:color="auto" w:sz="4" w:space="0"/>
            </w:tcBorders>
            <w:shd w:val="clear" w:color="auto" w:fill="auto"/>
            <w:vAlign w:val="center"/>
          </w:tcPr>
          <w:p w14:paraId="3305AD5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5533BAC8">
        <w:tblPrEx>
          <w:tblCellMar>
            <w:top w:w="0" w:type="dxa"/>
            <w:left w:w="108" w:type="dxa"/>
            <w:bottom w:w="0" w:type="dxa"/>
            <w:right w:w="108" w:type="dxa"/>
          </w:tblCellMar>
        </w:tblPrEx>
        <w:trPr>
          <w:trHeight w:val="402" w:hRule="atLeast"/>
        </w:trPr>
        <w:tc>
          <w:tcPr>
            <w:tcW w:w="113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B21AC8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060" w:type="dxa"/>
            <w:gridSpan w:val="3"/>
            <w:tcBorders>
              <w:top w:val="nil"/>
              <w:left w:val="nil"/>
              <w:bottom w:val="single" w:color="auto" w:sz="4" w:space="0"/>
              <w:right w:val="single" w:color="auto" w:sz="4" w:space="0"/>
            </w:tcBorders>
            <w:shd w:val="clear" w:color="auto" w:fill="auto"/>
            <w:vAlign w:val="center"/>
          </w:tcPr>
          <w:p w14:paraId="7CB26E60">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425" w:type="dxa"/>
            <w:gridSpan w:val="3"/>
            <w:tcBorders>
              <w:top w:val="nil"/>
              <w:left w:val="nil"/>
              <w:bottom w:val="single" w:color="auto" w:sz="4" w:space="0"/>
              <w:right w:val="single" w:color="auto" w:sz="4" w:space="0"/>
            </w:tcBorders>
            <w:shd w:val="clear" w:color="auto" w:fill="auto"/>
            <w:vAlign w:val="center"/>
          </w:tcPr>
          <w:p w14:paraId="620ACC6B">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879" w:type="dxa"/>
            <w:gridSpan w:val="2"/>
            <w:tcBorders>
              <w:top w:val="nil"/>
              <w:left w:val="nil"/>
              <w:bottom w:val="single" w:color="auto" w:sz="4" w:space="0"/>
              <w:right w:val="single" w:color="auto" w:sz="4" w:space="0"/>
            </w:tcBorders>
            <w:shd w:val="clear" w:color="auto" w:fill="auto"/>
            <w:vAlign w:val="center"/>
          </w:tcPr>
          <w:p w14:paraId="06D691EF">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4394" w:type="dxa"/>
            <w:gridSpan w:val="2"/>
            <w:tcBorders>
              <w:top w:val="nil"/>
              <w:left w:val="nil"/>
              <w:bottom w:val="single" w:color="auto" w:sz="4" w:space="0"/>
              <w:right w:val="single" w:color="auto" w:sz="4" w:space="0"/>
            </w:tcBorders>
            <w:shd w:val="clear" w:color="auto" w:fill="auto"/>
            <w:vAlign w:val="center"/>
          </w:tcPr>
          <w:p w14:paraId="52A0E0A9">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7004D100">
        <w:tblPrEx>
          <w:tblCellMar>
            <w:top w:w="0" w:type="dxa"/>
            <w:left w:w="108" w:type="dxa"/>
            <w:bottom w:w="0" w:type="dxa"/>
            <w:right w:w="108" w:type="dxa"/>
          </w:tblCellMar>
        </w:tblPrEx>
        <w:trPr>
          <w:trHeight w:val="402" w:hRule="atLeast"/>
        </w:trPr>
        <w:tc>
          <w:tcPr>
            <w:tcW w:w="113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BE06EB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060" w:type="dxa"/>
            <w:gridSpan w:val="3"/>
            <w:tcBorders>
              <w:top w:val="nil"/>
              <w:left w:val="nil"/>
              <w:bottom w:val="single" w:color="auto" w:sz="4" w:space="0"/>
              <w:right w:val="single" w:color="auto" w:sz="4" w:space="0"/>
            </w:tcBorders>
            <w:shd w:val="clear" w:color="auto" w:fill="auto"/>
            <w:vAlign w:val="center"/>
          </w:tcPr>
          <w:p w14:paraId="02154A7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425" w:type="dxa"/>
            <w:gridSpan w:val="3"/>
            <w:tcBorders>
              <w:top w:val="nil"/>
              <w:left w:val="nil"/>
              <w:bottom w:val="single" w:color="auto" w:sz="4" w:space="0"/>
              <w:right w:val="single" w:color="auto" w:sz="4" w:space="0"/>
            </w:tcBorders>
            <w:shd w:val="clear" w:color="auto" w:fill="auto"/>
            <w:vAlign w:val="center"/>
          </w:tcPr>
          <w:p w14:paraId="2370F8AF">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879" w:type="dxa"/>
            <w:gridSpan w:val="2"/>
            <w:tcBorders>
              <w:top w:val="nil"/>
              <w:left w:val="nil"/>
              <w:bottom w:val="single" w:color="auto" w:sz="4" w:space="0"/>
              <w:right w:val="single" w:color="auto" w:sz="4" w:space="0"/>
            </w:tcBorders>
            <w:shd w:val="clear" w:color="auto" w:fill="auto"/>
            <w:vAlign w:val="center"/>
          </w:tcPr>
          <w:p w14:paraId="1444A33C">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4394" w:type="dxa"/>
            <w:gridSpan w:val="2"/>
            <w:tcBorders>
              <w:top w:val="nil"/>
              <w:left w:val="nil"/>
              <w:bottom w:val="single" w:color="auto" w:sz="4" w:space="0"/>
              <w:right w:val="single" w:color="auto" w:sz="4" w:space="0"/>
            </w:tcBorders>
            <w:shd w:val="clear" w:color="auto" w:fill="auto"/>
            <w:vAlign w:val="center"/>
          </w:tcPr>
          <w:p w14:paraId="77C9A3D7">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4B690039">
        <w:tblPrEx>
          <w:tblCellMar>
            <w:top w:w="0" w:type="dxa"/>
            <w:left w:w="108" w:type="dxa"/>
            <w:bottom w:w="0" w:type="dxa"/>
            <w:right w:w="108" w:type="dxa"/>
          </w:tblCellMar>
        </w:tblPrEx>
        <w:trPr>
          <w:trHeight w:val="402" w:hRule="atLeast"/>
        </w:trPr>
        <w:tc>
          <w:tcPr>
            <w:tcW w:w="1133" w:type="dxa"/>
            <w:gridSpan w:val="2"/>
            <w:tcBorders>
              <w:top w:val="single" w:color="auto" w:sz="4" w:space="0"/>
              <w:left w:val="single" w:color="auto" w:sz="8" w:space="0"/>
              <w:bottom w:val="single" w:color="auto" w:sz="8" w:space="0"/>
              <w:right w:val="single" w:color="auto" w:sz="4" w:space="0"/>
            </w:tcBorders>
            <w:shd w:val="clear" w:color="auto" w:fill="auto"/>
            <w:vAlign w:val="center"/>
          </w:tcPr>
          <w:p w14:paraId="7255655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060" w:type="dxa"/>
            <w:gridSpan w:val="3"/>
            <w:tcBorders>
              <w:top w:val="nil"/>
              <w:left w:val="nil"/>
              <w:bottom w:val="single" w:color="auto" w:sz="8" w:space="0"/>
              <w:right w:val="single" w:color="auto" w:sz="4" w:space="0"/>
            </w:tcBorders>
            <w:shd w:val="clear" w:color="auto" w:fill="auto"/>
            <w:vAlign w:val="center"/>
          </w:tcPr>
          <w:p w14:paraId="6303B7B0">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425" w:type="dxa"/>
            <w:gridSpan w:val="3"/>
            <w:tcBorders>
              <w:top w:val="nil"/>
              <w:left w:val="nil"/>
              <w:bottom w:val="single" w:color="auto" w:sz="8" w:space="0"/>
              <w:right w:val="single" w:color="auto" w:sz="4" w:space="0"/>
            </w:tcBorders>
            <w:shd w:val="clear" w:color="auto" w:fill="auto"/>
            <w:vAlign w:val="center"/>
          </w:tcPr>
          <w:p w14:paraId="2EA05D69">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879" w:type="dxa"/>
            <w:gridSpan w:val="2"/>
            <w:tcBorders>
              <w:top w:val="nil"/>
              <w:left w:val="nil"/>
              <w:bottom w:val="single" w:color="auto" w:sz="8" w:space="0"/>
              <w:right w:val="single" w:color="auto" w:sz="4" w:space="0"/>
            </w:tcBorders>
            <w:shd w:val="clear" w:color="auto" w:fill="auto"/>
            <w:vAlign w:val="center"/>
          </w:tcPr>
          <w:p w14:paraId="11BAAF7B">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4394" w:type="dxa"/>
            <w:gridSpan w:val="2"/>
            <w:tcBorders>
              <w:top w:val="nil"/>
              <w:left w:val="nil"/>
              <w:bottom w:val="single" w:color="auto" w:sz="8" w:space="0"/>
              <w:right w:val="single" w:color="auto" w:sz="4" w:space="0"/>
            </w:tcBorders>
            <w:shd w:val="clear" w:color="auto" w:fill="auto"/>
            <w:vAlign w:val="center"/>
          </w:tcPr>
          <w:p w14:paraId="4A5DBE5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3453FA15">
        <w:tblPrEx>
          <w:tblCellMar>
            <w:top w:w="0" w:type="dxa"/>
            <w:left w:w="108" w:type="dxa"/>
            <w:bottom w:w="0" w:type="dxa"/>
            <w:right w:w="108" w:type="dxa"/>
          </w:tblCellMar>
        </w:tblPrEx>
        <w:trPr>
          <w:trHeight w:val="720" w:hRule="atLeast"/>
        </w:trPr>
        <w:tc>
          <w:tcPr>
            <w:tcW w:w="13891" w:type="dxa"/>
            <w:gridSpan w:val="12"/>
            <w:tcBorders>
              <w:top w:val="single" w:color="auto" w:sz="8" w:space="0"/>
              <w:left w:val="nil"/>
              <w:bottom w:val="nil"/>
              <w:right w:val="nil"/>
            </w:tcBorders>
            <w:shd w:val="clear" w:color="auto" w:fill="auto"/>
            <w:vAlign w:val="center"/>
          </w:tcPr>
          <w:p w14:paraId="1718D3EC">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p w14:paraId="7DBA5799">
            <w:pPr>
              <w:widowControl/>
              <w:jc w:val="left"/>
              <w:rPr>
                <w:rFonts w:hint="eastAsia" w:ascii="宋体" w:hAnsi="宋体" w:eastAsia="宋体" w:cs="宋体"/>
                <w:kern w:val="0"/>
                <w:sz w:val="24"/>
                <w:szCs w:val="24"/>
              </w:rPr>
            </w:pPr>
            <w:r>
              <w:rPr>
                <w:rFonts w:ascii="Times New Roman" w:hAnsi="Times New Roman" w:eastAsia="仿宋_GB2312" w:cs="Times New Roman"/>
                <w:kern w:val="0"/>
                <w:szCs w:val="21"/>
              </w:rPr>
              <w:t>(</w:t>
            </w:r>
            <w:r>
              <w:rPr>
                <w:rFonts w:hint="eastAsia" w:ascii="Times New Roman" w:hAnsi="Times New Roman" w:eastAsia="仿宋_GB2312" w:cs="Times New Roman"/>
                <w:color w:val="000000"/>
                <w:kern w:val="0"/>
                <w:szCs w:val="21"/>
                <w:lang w:eastAsia="zh-CN"/>
              </w:rPr>
              <w:t>湖南省地质矿产勘查开发局四〇二队</w:t>
            </w:r>
            <w:r>
              <w:rPr>
                <w:rFonts w:hint="eastAsia" w:ascii="Times New Roman" w:hAnsi="Times New Roman" w:eastAsia="仿宋_GB2312" w:cs="Times New Roman"/>
                <w:kern w:val="0"/>
                <w:szCs w:val="21"/>
              </w:rPr>
              <w:t>没有</w:t>
            </w:r>
            <w:r>
              <w:rPr>
                <w:rFonts w:hint="eastAsia" w:ascii="Times New Roman" w:hAnsi="Times New Roman" w:eastAsia="仿宋_GB2312" w:cs="Times New Roman"/>
                <w:kern w:val="0"/>
                <w:szCs w:val="21"/>
                <w:lang w:eastAsia="zh-CN"/>
              </w:rPr>
              <w:t>国有资本经营</w:t>
            </w:r>
            <w:r>
              <w:rPr>
                <w:rFonts w:hint="eastAsia" w:ascii="Times New Roman" w:hAnsi="Times New Roman" w:eastAsia="仿宋_GB2312" w:cs="Times New Roman"/>
                <w:kern w:val="0"/>
                <w:szCs w:val="21"/>
              </w:rPr>
              <w:t>收入，也没有</w:t>
            </w:r>
            <w:r>
              <w:rPr>
                <w:rFonts w:hint="eastAsia" w:ascii="Times New Roman" w:hAnsi="Times New Roman" w:eastAsia="仿宋_GB2312" w:cs="Times New Roman"/>
                <w:kern w:val="0"/>
                <w:szCs w:val="21"/>
                <w:lang w:eastAsia="zh-CN"/>
              </w:rPr>
              <w:t>国有资本经营</w:t>
            </w:r>
            <w:r>
              <w:rPr>
                <w:rFonts w:hint="eastAsia" w:ascii="Times New Roman" w:hAnsi="Times New Roman" w:eastAsia="仿宋_GB2312" w:cs="Times New Roman"/>
                <w:kern w:val="0"/>
                <w:szCs w:val="21"/>
              </w:rPr>
              <w:t>支出，故本表无数据</w:t>
            </w:r>
            <w:r>
              <w:rPr>
                <w:rFonts w:ascii="Times New Roman" w:hAnsi="Times New Roman" w:eastAsia="仿宋_GB2312" w:cs="Times New Roman"/>
                <w:kern w:val="0"/>
                <w:szCs w:val="21"/>
              </w:rPr>
              <w:t>)。</w:t>
            </w:r>
          </w:p>
        </w:tc>
      </w:tr>
    </w:tbl>
    <w:p w14:paraId="483E575D">
      <w:pPr>
        <w:pStyle w:val="9"/>
        <w:rPr>
          <w:sz w:val="72"/>
          <w:szCs w:val="72"/>
        </w:rPr>
        <w:sectPr>
          <w:pgSz w:w="16838" w:h="11906" w:orient="landscape"/>
          <w:pgMar w:top="720" w:right="720" w:bottom="720" w:left="720" w:header="851" w:footer="992" w:gutter="0"/>
          <w:cols w:space="425" w:num="1"/>
          <w:docGrid w:type="lines" w:linePitch="312" w:charSpace="0"/>
        </w:sectPr>
      </w:pPr>
    </w:p>
    <w:p w14:paraId="08981520">
      <w:pPr>
        <w:pStyle w:val="9"/>
        <w:rPr>
          <w:sz w:val="72"/>
          <w:szCs w:val="72"/>
        </w:rPr>
      </w:pPr>
    </w:p>
    <w:p w14:paraId="19F19787">
      <w:pPr>
        <w:pStyle w:val="9"/>
        <w:rPr>
          <w:sz w:val="72"/>
          <w:szCs w:val="72"/>
        </w:rPr>
      </w:pPr>
    </w:p>
    <w:p w14:paraId="7C4636B0">
      <w:pPr>
        <w:pStyle w:val="9"/>
        <w:rPr>
          <w:sz w:val="72"/>
          <w:szCs w:val="72"/>
        </w:rPr>
      </w:pPr>
    </w:p>
    <w:p w14:paraId="11542492">
      <w:pPr>
        <w:pStyle w:val="9"/>
        <w:rPr>
          <w:sz w:val="72"/>
          <w:szCs w:val="72"/>
        </w:rPr>
      </w:pPr>
    </w:p>
    <w:p w14:paraId="41767547">
      <w:pPr>
        <w:pStyle w:val="9"/>
        <w:jc w:val="center"/>
        <w:rPr>
          <w:sz w:val="72"/>
          <w:szCs w:val="72"/>
        </w:rPr>
      </w:pPr>
    </w:p>
    <w:p w14:paraId="184CD679">
      <w:pPr>
        <w:pStyle w:val="9"/>
        <w:jc w:val="center"/>
        <w:rPr>
          <w:sz w:val="72"/>
          <w:szCs w:val="72"/>
        </w:rPr>
      </w:pPr>
    </w:p>
    <w:p w14:paraId="185D930C">
      <w:pPr>
        <w:pStyle w:val="9"/>
        <w:jc w:val="center"/>
        <w:rPr>
          <w:sz w:val="72"/>
          <w:szCs w:val="72"/>
        </w:rPr>
      </w:pPr>
      <w:r>
        <w:rPr>
          <w:rFonts w:hint="eastAsia"/>
          <w:sz w:val="72"/>
          <w:szCs w:val="72"/>
        </w:rPr>
        <w:t>第三部分</w:t>
      </w:r>
    </w:p>
    <w:p w14:paraId="2F45374D">
      <w:pPr>
        <w:pStyle w:val="9"/>
        <w:jc w:val="center"/>
        <w:rPr>
          <w:sz w:val="70"/>
          <w:szCs w:val="70"/>
        </w:rPr>
      </w:pPr>
    </w:p>
    <w:p w14:paraId="2432557B">
      <w:pPr>
        <w:pStyle w:val="9"/>
        <w:jc w:val="center"/>
        <w:rPr>
          <w:sz w:val="70"/>
          <w:szCs w:val="70"/>
        </w:rPr>
      </w:pPr>
      <w:r>
        <w:rPr>
          <w:sz w:val="70"/>
          <w:szCs w:val="70"/>
        </w:rPr>
        <w:t>20</w:t>
      </w:r>
      <w:r>
        <w:rPr>
          <w:rFonts w:hint="eastAsia"/>
          <w:sz w:val="70"/>
          <w:szCs w:val="70"/>
        </w:rPr>
        <w:t>21年度部门决算情况说明</w:t>
      </w:r>
    </w:p>
    <w:p w14:paraId="5106643F">
      <w:pPr>
        <w:widowControl/>
        <w:jc w:val="left"/>
        <w:rPr>
          <w:rFonts w:ascii="黑体" w:eastAsia="黑体" w:cs="黑体"/>
          <w:color w:val="000000"/>
          <w:kern w:val="0"/>
          <w:sz w:val="70"/>
          <w:szCs w:val="70"/>
        </w:rPr>
      </w:pPr>
      <w:r>
        <w:rPr>
          <w:sz w:val="70"/>
          <w:szCs w:val="70"/>
        </w:rPr>
        <w:br w:type="page"/>
      </w:r>
    </w:p>
    <w:p w14:paraId="3E11293D">
      <w:pPr>
        <w:pStyle w:val="9"/>
        <w:rPr>
          <w:rFonts w:hAnsi="黑体"/>
          <w:b/>
          <w:sz w:val="32"/>
          <w:szCs w:val="32"/>
        </w:rPr>
      </w:pPr>
      <w:r>
        <w:rPr>
          <w:rFonts w:hint="eastAsia" w:hAnsi="黑体"/>
          <w:b/>
          <w:sz w:val="32"/>
          <w:szCs w:val="32"/>
        </w:rPr>
        <w:t>一、收入支出决算总体情况说明</w:t>
      </w:r>
    </w:p>
    <w:p w14:paraId="5A8A5A19">
      <w:pPr>
        <w:pStyle w:val="9"/>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2021年度收</w:t>
      </w:r>
      <w:r>
        <w:rPr>
          <w:rFonts w:hint="eastAsia" w:asciiTheme="minorEastAsia" w:hAnsiTheme="minorEastAsia" w:eastAsiaTheme="minorEastAsia"/>
          <w:sz w:val="32"/>
          <w:szCs w:val="32"/>
          <w:highlight w:val="none"/>
          <w:lang w:eastAsia="zh-CN"/>
        </w:rPr>
        <w:t>入总计</w:t>
      </w:r>
      <w:r>
        <w:rPr>
          <w:rFonts w:hint="eastAsia" w:asciiTheme="minorEastAsia" w:hAnsiTheme="minorEastAsia" w:eastAsiaTheme="minorEastAsia"/>
          <w:sz w:val="32"/>
          <w:szCs w:val="32"/>
          <w:highlight w:val="none"/>
        </w:rPr>
        <w:t>14129.76万元</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rPr>
        <w:t>与上年相比，减少</w:t>
      </w:r>
      <w:r>
        <w:rPr>
          <w:rFonts w:asciiTheme="minorEastAsia" w:hAnsiTheme="minorEastAsia" w:eastAsiaTheme="minorEastAsia"/>
          <w:sz w:val="32"/>
          <w:szCs w:val="32"/>
          <w:highlight w:val="none"/>
        </w:rPr>
        <w:t>4689</w:t>
      </w:r>
      <w:r>
        <w:rPr>
          <w:rFonts w:hint="eastAsia" w:asciiTheme="minorEastAsia" w:hAnsiTheme="minorEastAsia" w:eastAsiaTheme="minorEastAsia"/>
          <w:sz w:val="32"/>
          <w:szCs w:val="32"/>
          <w:highlight w:val="none"/>
        </w:rPr>
        <w:t>.15万元，减少24.9</w:t>
      </w:r>
      <w:r>
        <w:rPr>
          <w:rFonts w:asciiTheme="minorEastAsia" w:hAnsiTheme="minorEastAsia" w:eastAsiaTheme="minorEastAsia"/>
          <w:sz w:val="32"/>
          <w:szCs w:val="32"/>
          <w:highlight w:val="none"/>
        </w:rPr>
        <w:t>1</w:t>
      </w:r>
      <w:r>
        <w:rPr>
          <w:rFonts w:hint="eastAsia" w:asciiTheme="minorEastAsia" w:hAnsiTheme="minorEastAsia" w:eastAsiaTheme="minorEastAsia"/>
          <w:sz w:val="32"/>
          <w:szCs w:val="32"/>
          <w:highlight w:val="none"/>
        </w:rPr>
        <w:t>%，主要是因为上年度结转资金和本年度财政拨款减少。</w:t>
      </w:r>
    </w:p>
    <w:p w14:paraId="6CC19939">
      <w:pPr>
        <w:pStyle w:val="9"/>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lang w:val="en-US" w:eastAsia="zh-CN"/>
        </w:rPr>
        <w:t xml:space="preserve"> </w:t>
      </w:r>
      <w:r>
        <w:rPr>
          <w:rFonts w:hint="eastAsia" w:asciiTheme="minorEastAsia" w:hAnsiTheme="minorEastAsia" w:eastAsiaTheme="minorEastAsia"/>
          <w:sz w:val="32"/>
          <w:szCs w:val="32"/>
          <w:highlight w:val="none"/>
        </w:rPr>
        <w:t>2021年度支</w:t>
      </w:r>
      <w:r>
        <w:rPr>
          <w:rFonts w:hint="eastAsia" w:asciiTheme="minorEastAsia" w:hAnsiTheme="minorEastAsia" w:eastAsiaTheme="minorEastAsia"/>
          <w:sz w:val="32"/>
          <w:szCs w:val="32"/>
          <w:highlight w:val="none"/>
          <w:lang w:eastAsia="zh-CN"/>
        </w:rPr>
        <w:t>出</w:t>
      </w:r>
      <w:r>
        <w:rPr>
          <w:rFonts w:hint="eastAsia" w:asciiTheme="minorEastAsia" w:hAnsiTheme="minorEastAsia" w:eastAsiaTheme="minorEastAsia"/>
          <w:sz w:val="32"/>
          <w:szCs w:val="32"/>
          <w:highlight w:val="none"/>
        </w:rPr>
        <w:t>总计1</w:t>
      </w:r>
      <w:r>
        <w:rPr>
          <w:rFonts w:hint="eastAsia" w:asciiTheme="minorEastAsia" w:hAnsiTheme="minorEastAsia" w:eastAsiaTheme="minorEastAsia"/>
          <w:sz w:val="32"/>
          <w:szCs w:val="32"/>
          <w:highlight w:val="none"/>
          <w:lang w:val="en-US" w:eastAsia="zh-CN"/>
        </w:rPr>
        <w:t>3862</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val="en-US" w:eastAsia="zh-CN"/>
        </w:rPr>
        <w:t>52</w:t>
      </w:r>
      <w:r>
        <w:rPr>
          <w:rFonts w:hint="eastAsia" w:asciiTheme="minorEastAsia" w:hAnsiTheme="minorEastAsia" w:eastAsiaTheme="minorEastAsia"/>
          <w:sz w:val="32"/>
          <w:szCs w:val="32"/>
          <w:highlight w:val="none"/>
        </w:rPr>
        <w:t>万元</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rPr>
        <w:t>与上年相比，减少</w:t>
      </w:r>
      <w:r>
        <w:rPr>
          <w:rFonts w:asciiTheme="minorEastAsia" w:hAnsiTheme="minorEastAsia" w:eastAsiaTheme="minorEastAsia"/>
          <w:sz w:val="32"/>
          <w:szCs w:val="32"/>
          <w:highlight w:val="none"/>
        </w:rPr>
        <w:t>46</w:t>
      </w:r>
      <w:r>
        <w:rPr>
          <w:rFonts w:hint="eastAsia" w:asciiTheme="minorEastAsia" w:hAnsiTheme="minorEastAsia" w:eastAsiaTheme="minorEastAsia"/>
          <w:sz w:val="32"/>
          <w:szCs w:val="32"/>
          <w:highlight w:val="none"/>
          <w:lang w:val="en-US" w:eastAsia="zh-CN"/>
        </w:rPr>
        <w:t>44</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val="en-US" w:eastAsia="zh-CN"/>
        </w:rPr>
        <w:t>96</w:t>
      </w:r>
      <w:r>
        <w:rPr>
          <w:rFonts w:hint="eastAsia" w:asciiTheme="minorEastAsia" w:hAnsiTheme="minorEastAsia" w:eastAsiaTheme="minorEastAsia"/>
          <w:sz w:val="32"/>
          <w:szCs w:val="32"/>
          <w:highlight w:val="none"/>
        </w:rPr>
        <w:t>万元，减少2</w:t>
      </w:r>
      <w:r>
        <w:rPr>
          <w:rFonts w:hint="eastAsia" w:asciiTheme="minorEastAsia" w:hAnsiTheme="minorEastAsia" w:eastAsiaTheme="minorEastAsia"/>
          <w:sz w:val="32"/>
          <w:szCs w:val="32"/>
          <w:highlight w:val="none"/>
          <w:lang w:val="en-US" w:eastAsia="zh-CN"/>
        </w:rPr>
        <w:t>5</w:t>
      </w:r>
      <w:r>
        <w:rPr>
          <w:rFonts w:hint="eastAsia" w:asciiTheme="minorEastAsia" w:hAnsiTheme="minorEastAsia" w:eastAsiaTheme="minorEastAsia"/>
          <w:sz w:val="32"/>
          <w:szCs w:val="32"/>
          <w:highlight w:val="none"/>
        </w:rPr>
        <w:t>.</w:t>
      </w:r>
      <w:r>
        <w:rPr>
          <w:rFonts w:asciiTheme="minorEastAsia" w:hAnsiTheme="minorEastAsia" w:eastAsiaTheme="minorEastAsia"/>
          <w:sz w:val="32"/>
          <w:szCs w:val="32"/>
          <w:highlight w:val="none"/>
        </w:rPr>
        <w:t>1</w:t>
      </w:r>
      <w:r>
        <w:rPr>
          <w:rFonts w:hint="eastAsia" w:asciiTheme="minorEastAsia" w:hAnsiTheme="minorEastAsia" w:eastAsiaTheme="minorEastAsia"/>
          <w:sz w:val="32"/>
          <w:szCs w:val="32"/>
          <w:highlight w:val="none"/>
        </w:rPr>
        <w:t>%，主要是因为上年度结转资金和本年度财政拨款减少。</w:t>
      </w:r>
    </w:p>
    <w:p w14:paraId="432B10C6">
      <w:pPr>
        <w:pStyle w:val="9"/>
        <w:rPr>
          <w:rFonts w:hAnsi="黑体"/>
          <w:b/>
          <w:sz w:val="32"/>
          <w:szCs w:val="32"/>
        </w:rPr>
      </w:pPr>
      <w:r>
        <w:rPr>
          <w:rFonts w:hint="eastAsia" w:hAnsi="黑体"/>
          <w:b/>
          <w:sz w:val="32"/>
          <w:szCs w:val="32"/>
        </w:rPr>
        <w:t>二、收入决算情况说明</w:t>
      </w:r>
    </w:p>
    <w:p w14:paraId="207B7A20">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2021年度收入合计13960.76万元，其中：财政拨款收入9235.16万元，占66.15%；上级补助收入0万元，占0%；事业收入0万元，占0%；经营收入4725.6万元，占33.85%；附属单位上缴收入0万元，占0%；其他收入0万元，占0%。</w:t>
      </w:r>
    </w:p>
    <w:p w14:paraId="5F8725F5">
      <w:pPr>
        <w:pStyle w:val="9"/>
        <w:rPr>
          <w:rFonts w:hAnsi="黑体"/>
          <w:b/>
          <w:sz w:val="32"/>
          <w:szCs w:val="32"/>
        </w:rPr>
      </w:pPr>
      <w:r>
        <w:rPr>
          <w:rFonts w:hint="eastAsia" w:hAnsi="黑体"/>
          <w:b/>
          <w:sz w:val="32"/>
          <w:szCs w:val="32"/>
        </w:rPr>
        <w:t>三、支出决算情况说明</w:t>
      </w:r>
    </w:p>
    <w:p w14:paraId="628576C1">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2021年度支出合计13862.52万元，其中：基本支出7745.44万元，占55.87%；项目支出1632.72万元，占11.78%；上缴上级支出0万元，占0%；经营支出4484.36万元，占32.35%；对附属单位补助支出0万元，占0%。</w:t>
      </w:r>
    </w:p>
    <w:p w14:paraId="6A81C97E">
      <w:pPr>
        <w:pStyle w:val="9"/>
        <w:rPr>
          <w:rFonts w:hAnsi="黑体"/>
          <w:b/>
          <w:sz w:val="32"/>
          <w:szCs w:val="32"/>
        </w:rPr>
      </w:pPr>
      <w:r>
        <w:rPr>
          <w:rFonts w:hint="eastAsia" w:hAnsi="黑体"/>
          <w:b/>
          <w:sz w:val="32"/>
          <w:szCs w:val="32"/>
        </w:rPr>
        <w:t>四、财政拨款收入支出决算总体情况说明</w:t>
      </w:r>
    </w:p>
    <w:p w14:paraId="3E9B6E02">
      <w:pPr>
        <w:pStyle w:val="9"/>
        <w:ind w:firstLine="64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2021年度财政拨款收</w:t>
      </w:r>
      <w:r>
        <w:rPr>
          <w:rFonts w:hint="eastAsia" w:asciiTheme="minorEastAsia" w:hAnsiTheme="minorEastAsia" w:eastAsiaTheme="minorEastAsia"/>
          <w:sz w:val="32"/>
          <w:szCs w:val="32"/>
          <w:highlight w:val="none"/>
          <w:lang w:eastAsia="zh-CN"/>
        </w:rPr>
        <w:t>入总计</w:t>
      </w:r>
      <w:r>
        <w:rPr>
          <w:rFonts w:hint="eastAsia" w:asciiTheme="minorEastAsia" w:hAnsiTheme="minorEastAsia" w:eastAsiaTheme="minorEastAsia"/>
          <w:sz w:val="32"/>
          <w:szCs w:val="32"/>
          <w:highlight w:val="none"/>
        </w:rPr>
        <w:t>9</w:t>
      </w:r>
      <w:r>
        <w:rPr>
          <w:rFonts w:asciiTheme="minorEastAsia" w:hAnsiTheme="minorEastAsia" w:eastAsiaTheme="minorEastAsia"/>
          <w:sz w:val="32"/>
          <w:szCs w:val="32"/>
          <w:highlight w:val="none"/>
        </w:rPr>
        <w:t>404</w:t>
      </w:r>
      <w:r>
        <w:rPr>
          <w:rFonts w:hint="eastAsia" w:asciiTheme="minorEastAsia" w:hAnsiTheme="minorEastAsia" w:eastAsiaTheme="minorEastAsia"/>
          <w:sz w:val="32"/>
          <w:szCs w:val="32"/>
          <w:highlight w:val="none"/>
        </w:rPr>
        <w:t>.16万元，与上年相比，减少</w:t>
      </w:r>
      <w:r>
        <w:rPr>
          <w:rFonts w:asciiTheme="minorEastAsia" w:hAnsiTheme="minorEastAsia" w:eastAsiaTheme="minorEastAsia"/>
          <w:sz w:val="32"/>
          <w:szCs w:val="32"/>
          <w:highlight w:val="none"/>
        </w:rPr>
        <w:t>4876</w:t>
      </w:r>
      <w:r>
        <w:rPr>
          <w:rFonts w:hint="eastAsia" w:asciiTheme="minorEastAsia" w:hAnsiTheme="minorEastAsia" w:eastAsiaTheme="minorEastAsia"/>
          <w:sz w:val="32"/>
          <w:szCs w:val="32"/>
          <w:highlight w:val="none"/>
        </w:rPr>
        <w:t>.49万元,减少</w:t>
      </w:r>
      <w:r>
        <w:rPr>
          <w:rFonts w:asciiTheme="minorEastAsia" w:hAnsiTheme="minorEastAsia" w:eastAsiaTheme="minorEastAsia"/>
          <w:sz w:val="32"/>
          <w:szCs w:val="32"/>
          <w:highlight w:val="none"/>
        </w:rPr>
        <w:t>34</w:t>
      </w:r>
      <w:r>
        <w:rPr>
          <w:rFonts w:hint="eastAsia" w:asciiTheme="minorEastAsia" w:hAnsiTheme="minorEastAsia" w:eastAsiaTheme="minorEastAsia"/>
          <w:sz w:val="32"/>
          <w:szCs w:val="32"/>
          <w:highlight w:val="none"/>
        </w:rPr>
        <w:t>.</w:t>
      </w:r>
      <w:r>
        <w:rPr>
          <w:rFonts w:asciiTheme="minorEastAsia" w:hAnsiTheme="minorEastAsia" w:eastAsiaTheme="minorEastAsia"/>
          <w:sz w:val="32"/>
          <w:szCs w:val="32"/>
          <w:highlight w:val="none"/>
        </w:rPr>
        <w:t>15</w:t>
      </w:r>
      <w:r>
        <w:rPr>
          <w:rFonts w:hint="eastAsia" w:asciiTheme="minorEastAsia" w:hAnsiTheme="minorEastAsia" w:eastAsiaTheme="minorEastAsia"/>
          <w:sz w:val="32"/>
          <w:szCs w:val="32"/>
          <w:highlight w:val="none"/>
        </w:rPr>
        <w:t>%，主要是因为上年度结转资金和本年度财政拨款减少。</w:t>
      </w:r>
    </w:p>
    <w:p w14:paraId="1D48576F">
      <w:pPr>
        <w:pStyle w:val="9"/>
        <w:ind w:firstLine="64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w:t>
      </w:r>
      <w:r>
        <w:rPr>
          <w:rFonts w:hint="eastAsia" w:asciiTheme="minorEastAsia" w:hAnsiTheme="minorEastAsia" w:eastAsiaTheme="minorEastAsia"/>
          <w:sz w:val="32"/>
          <w:szCs w:val="32"/>
          <w:highlight w:val="none"/>
          <w:lang w:eastAsia="zh-CN"/>
        </w:rPr>
        <w:t>度</w:t>
      </w:r>
      <w:r>
        <w:rPr>
          <w:rFonts w:hint="eastAsia" w:asciiTheme="minorEastAsia" w:hAnsiTheme="minorEastAsia" w:eastAsiaTheme="minorEastAsia"/>
          <w:sz w:val="32"/>
          <w:szCs w:val="32"/>
          <w:highlight w:val="none"/>
        </w:rPr>
        <w:t>财政拨款支</w:t>
      </w:r>
      <w:r>
        <w:rPr>
          <w:rFonts w:hint="eastAsia" w:asciiTheme="minorEastAsia" w:hAnsiTheme="minorEastAsia" w:eastAsiaTheme="minorEastAsia"/>
          <w:sz w:val="32"/>
          <w:szCs w:val="32"/>
          <w:highlight w:val="none"/>
          <w:lang w:eastAsia="zh-CN"/>
        </w:rPr>
        <w:t>出</w:t>
      </w:r>
      <w:r>
        <w:rPr>
          <w:rFonts w:hint="eastAsia" w:asciiTheme="minorEastAsia" w:hAnsiTheme="minorEastAsia" w:eastAsiaTheme="minorEastAsia"/>
          <w:sz w:val="32"/>
          <w:szCs w:val="32"/>
          <w:highlight w:val="none"/>
        </w:rPr>
        <w:t>总计9</w:t>
      </w:r>
      <w:r>
        <w:rPr>
          <w:rFonts w:hint="eastAsia" w:asciiTheme="minorEastAsia" w:hAnsiTheme="minorEastAsia" w:eastAsiaTheme="minorEastAsia"/>
          <w:sz w:val="32"/>
          <w:szCs w:val="32"/>
          <w:highlight w:val="none"/>
          <w:lang w:val="en-US" w:eastAsia="zh-CN"/>
        </w:rPr>
        <w:t>378</w:t>
      </w:r>
      <w:r>
        <w:rPr>
          <w:rFonts w:hint="eastAsia" w:asciiTheme="minorEastAsia" w:hAnsiTheme="minorEastAsia" w:eastAsiaTheme="minorEastAsia"/>
          <w:sz w:val="32"/>
          <w:szCs w:val="32"/>
          <w:highlight w:val="none"/>
        </w:rPr>
        <w:t>.16万元，与上年相比，减少</w:t>
      </w:r>
      <w:r>
        <w:rPr>
          <w:rFonts w:asciiTheme="minorEastAsia" w:hAnsiTheme="minorEastAsia" w:eastAsiaTheme="minorEastAsia"/>
          <w:sz w:val="32"/>
          <w:szCs w:val="32"/>
          <w:highlight w:val="none"/>
        </w:rPr>
        <w:t>4</w:t>
      </w:r>
      <w:r>
        <w:rPr>
          <w:rFonts w:hint="eastAsia" w:asciiTheme="minorEastAsia" w:hAnsiTheme="minorEastAsia" w:eastAsiaTheme="minorEastAsia"/>
          <w:sz w:val="32"/>
          <w:szCs w:val="32"/>
          <w:highlight w:val="none"/>
          <w:lang w:val="en-US" w:eastAsia="zh-CN"/>
        </w:rPr>
        <w:t>733</w:t>
      </w:r>
      <w:r>
        <w:rPr>
          <w:rFonts w:hint="eastAsia" w:asciiTheme="minorEastAsia" w:hAnsiTheme="minorEastAsia" w:eastAsiaTheme="minorEastAsia"/>
          <w:sz w:val="32"/>
          <w:szCs w:val="32"/>
          <w:highlight w:val="none"/>
        </w:rPr>
        <w:t>.49万元,减少</w:t>
      </w:r>
      <w:r>
        <w:rPr>
          <w:rFonts w:asciiTheme="minorEastAsia" w:hAnsiTheme="minorEastAsia" w:eastAsiaTheme="minorEastAsia"/>
          <w:sz w:val="32"/>
          <w:szCs w:val="32"/>
          <w:highlight w:val="none"/>
        </w:rPr>
        <w:t>3</w:t>
      </w:r>
      <w:r>
        <w:rPr>
          <w:rFonts w:hint="eastAsia" w:asciiTheme="minorEastAsia" w:hAnsiTheme="minorEastAsia" w:eastAsiaTheme="minorEastAsia"/>
          <w:sz w:val="32"/>
          <w:szCs w:val="32"/>
          <w:highlight w:val="none"/>
          <w:lang w:val="en-US" w:eastAsia="zh-CN"/>
        </w:rPr>
        <w:t>3</w:t>
      </w:r>
      <w:r>
        <w:rPr>
          <w:rFonts w:hint="eastAsia" w:asciiTheme="minorEastAsia" w:hAnsiTheme="minorEastAsia" w:eastAsiaTheme="minorEastAsia"/>
          <w:sz w:val="32"/>
          <w:szCs w:val="32"/>
          <w:highlight w:val="none"/>
        </w:rPr>
        <w:t>.</w:t>
      </w:r>
      <w:r>
        <w:rPr>
          <w:rFonts w:asciiTheme="minorEastAsia" w:hAnsiTheme="minorEastAsia" w:eastAsiaTheme="minorEastAsia"/>
          <w:sz w:val="32"/>
          <w:szCs w:val="32"/>
          <w:highlight w:val="none"/>
        </w:rPr>
        <w:t>5</w:t>
      </w:r>
      <w:r>
        <w:rPr>
          <w:rFonts w:hint="eastAsia" w:asciiTheme="minorEastAsia" w:hAnsiTheme="minorEastAsia" w:eastAsiaTheme="minorEastAsia"/>
          <w:sz w:val="32"/>
          <w:szCs w:val="32"/>
          <w:highlight w:val="none"/>
          <w:lang w:val="en-US" w:eastAsia="zh-CN"/>
        </w:rPr>
        <w:t>4</w:t>
      </w:r>
      <w:r>
        <w:rPr>
          <w:rFonts w:hint="eastAsia" w:asciiTheme="minorEastAsia" w:hAnsiTheme="minorEastAsia" w:eastAsiaTheme="minorEastAsia"/>
          <w:sz w:val="32"/>
          <w:szCs w:val="32"/>
          <w:highlight w:val="none"/>
        </w:rPr>
        <w:t>%，主要是因为上年度结转资金和本年度财政拨款减少。</w:t>
      </w:r>
    </w:p>
    <w:p w14:paraId="7B0A0513">
      <w:pPr>
        <w:pStyle w:val="9"/>
        <w:rPr>
          <w:rFonts w:hAnsi="黑体"/>
          <w:b/>
          <w:sz w:val="32"/>
          <w:szCs w:val="32"/>
          <w:highlight w:val="none"/>
        </w:rPr>
      </w:pPr>
      <w:r>
        <w:rPr>
          <w:rFonts w:hint="eastAsia" w:hAnsi="黑体"/>
          <w:b/>
          <w:sz w:val="32"/>
          <w:szCs w:val="32"/>
          <w:highlight w:val="none"/>
        </w:rPr>
        <w:t>五、一般公共预算财政拨款支出决算情况说明</w:t>
      </w:r>
    </w:p>
    <w:p w14:paraId="4328D8AF">
      <w:pPr>
        <w:pStyle w:val="9"/>
        <w:ind w:firstLine="640" w:firstLineChars="200"/>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（一）财政拨款支出决算总体情况</w:t>
      </w:r>
    </w:p>
    <w:p w14:paraId="123E63F9">
      <w:pPr>
        <w:pStyle w:val="9"/>
        <w:ind w:firstLine="800" w:firstLineChars="25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2021年度财政拨款支出9</w:t>
      </w:r>
      <w:r>
        <w:rPr>
          <w:rFonts w:hint="eastAsia" w:asciiTheme="minorEastAsia" w:hAnsiTheme="minorEastAsia" w:eastAsiaTheme="minorEastAsia"/>
          <w:sz w:val="32"/>
          <w:szCs w:val="32"/>
          <w:highlight w:val="none"/>
          <w:lang w:val="en-US" w:eastAsia="zh-CN"/>
        </w:rPr>
        <w:t>378</w:t>
      </w:r>
      <w:r>
        <w:rPr>
          <w:rFonts w:hint="eastAsia" w:asciiTheme="minorEastAsia" w:hAnsiTheme="minorEastAsia" w:eastAsiaTheme="minorEastAsia"/>
          <w:sz w:val="32"/>
          <w:szCs w:val="32"/>
          <w:highlight w:val="none"/>
        </w:rPr>
        <w:t>.16万元，占本年支出合计的67.</w:t>
      </w:r>
      <w:r>
        <w:rPr>
          <w:rFonts w:hint="eastAsia" w:asciiTheme="minorEastAsia" w:hAnsiTheme="minorEastAsia" w:eastAsiaTheme="minorEastAsia"/>
          <w:sz w:val="32"/>
          <w:szCs w:val="32"/>
          <w:highlight w:val="none"/>
          <w:lang w:val="en-US" w:eastAsia="zh-CN"/>
        </w:rPr>
        <w:t>65</w:t>
      </w:r>
      <w:r>
        <w:rPr>
          <w:rFonts w:hint="eastAsia" w:asciiTheme="minorEastAsia" w:hAnsiTheme="minorEastAsia" w:eastAsiaTheme="minorEastAsia"/>
          <w:sz w:val="32"/>
          <w:szCs w:val="32"/>
          <w:highlight w:val="none"/>
        </w:rPr>
        <w:t>%，与上年相比，财政拨款支出减少4733.49万元，减少3</w:t>
      </w:r>
      <w:r>
        <w:rPr>
          <w:rFonts w:hint="eastAsia" w:asciiTheme="minorEastAsia" w:hAnsiTheme="minorEastAsia" w:eastAsiaTheme="minorEastAsia"/>
          <w:sz w:val="32"/>
          <w:szCs w:val="32"/>
          <w:highlight w:val="none"/>
          <w:lang w:val="en-US" w:eastAsia="zh-CN"/>
        </w:rPr>
        <w:t>3</w:t>
      </w:r>
      <w:r>
        <w:rPr>
          <w:rFonts w:hint="eastAsia" w:asciiTheme="minorEastAsia" w:hAnsiTheme="minorEastAsia" w:eastAsiaTheme="minorEastAsia"/>
          <w:sz w:val="32"/>
          <w:szCs w:val="32"/>
          <w:highlight w:val="none"/>
        </w:rPr>
        <w:t>.5</w:t>
      </w:r>
      <w:r>
        <w:rPr>
          <w:rFonts w:hint="eastAsia" w:asciiTheme="minorEastAsia" w:hAnsiTheme="minorEastAsia" w:eastAsiaTheme="minorEastAsia"/>
          <w:sz w:val="32"/>
          <w:szCs w:val="32"/>
          <w:highlight w:val="none"/>
          <w:lang w:val="en-US" w:eastAsia="zh-CN"/>
        </w:rPr>
        <w:t>4</w:t>
      </w:r>
      <w:r>
        <w:rPr>
          <w:rFonts w:hint="eastAsia" w:asciiTheme="minorEastAsia" w:hAnsiTheme="minorEastAsia" w:eastAsiaTheme="minorEastAsia"/>
          <w:sz w:val="32"/>
          <w:szCs w:val="32"/>
          <w:highlight w:val="none"/>
        </w:rPr>
        <w:t>%，主要是因为上年度结转资金和本年度财政拨款减少。</w:t>
      </w:r>
    </w:p>
    <w:p w14:paraId="3FBAC5C4">
      <w:pPr>
        <w:pStyle w:val="9"/>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14:paraId="16D980C9">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highlight w:val="none"/>
        </w:rPr>
        <w:t>2021年度财政拨款支出9</w:t>
      </w:r>
      <w:r>
        <w:rPr>
          <w:rFonts w:asciiTheme="minorEastAsia" w:hAnsiTheme="minorEastAsia" w:eastAsiaTheme="minorEastAsia"/>
          <w:sz w:val="32"/>
          <w:szCs w:val="32"/>
          <w:highlight w:val="none"/>
        </w:rPr>
        <w:t>378</w:t>
      </w:r>
      <w:r>
        <w:rPr>
          <w:rFonts w:hint="eastAsia" w:asciiTheme="minorEastAsia" w:hAnsiTheme="minorEastAsia" w:eastAsiaTheme="minorEastAsia"/>
          <w:sz w:val="32"/>
          <w:szCs w:val="32"/>
          <w:highlight w:val="none"/>
        </w:rPr>
        <w:t>.16万元，主要用</w:t>
      </w:r>
      <w:r>
        <w:rPr>
          <w:rFonts w:hint="eastAsia" w:asciiTheme="minorEastAsia" w:hAnsiTheme="minorEastAsia" w:eastAsiaTheme="minorEastAsia"/>
          <w:sz w:val="32"/>
          <w:szCs w:val="32"/>
        </w:rPr>
        <w:t>于以下方面：科学技术支出（类）支出8万元，占0.08%；社会保障和就业支出（类）支出1309.81万元，占13.97%；卫生健康支出（类）支出427.23万元，占4.55%；资源勘探工业信息（类）等支出139.34万元，占1.49%；自然资源海洋气象（类）等支出6380.62万元，占68.04%；住房保障（类）支出527.16万元，占5.62%；灾害防治及应急管理（类）支出586万元，占6.25%。</w:t>
      </w:r>
    </w:p>
    <w:p w14:paraId="15A0FA9D">
      <w:pPr>
        <w:pStyle w:val="9"/>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14:paraId="5053142F">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2021年度财政拨款支出年初预算数为774</w:t>
      </w:r>
      <w:r>
        <w:rPr>
          <w:rFonts w:asciiTheme="minorEastAsia" w:hAnsiTheme="minorEastAsia" w:eastAsiaTheme="minorEastAsia"/>
          <w:sz w:val="32"/>
          <w:szCs w:val="32"/>
        </w:rPr>
        <w:t>4</w:t>
      </w:r>
      <w:r>
        <w:rPr>
          <w:rFonts w:hint="eastAsia" w:asciiTheme="minorEastAsia" w:hAnsiTheme="minorEastAsia" w:eastAsiaTheme="minorEastAsia"/>
          <w:sz w:val="32"/>
          <w:szCs w:val="32"/>
        </w:rPr>
        <w:t>.</w:t>
      </w:r>
      <w:r>
        <w:rPr>
          <w:rFonts w:asciiTheme="minorEastAsia" w:hAnsiTheme="minorEastAsia" w:eastAsiaTheme="minorEastAsia"/>
          <w:sz w:val="32"/>
          <w:szCs w:val="32"/>
        </w:rPr>
        <w:t>2</w:t>
      </w:r>
      <w:r>
        <w:rPr>
          <w:rFonts w:hint="eastAsia" w:asciiTheme="minorEastAsia" w:hAnsiTheme="minorEastAsia" w:eastAsiaTheme="minorEastAsia"/>
          <w:sz w:val="32"/>
          <w:szCs w:val="32"/>
        </w:rPr>
        <w:t>4万元，支出决算数为9378.16万元，完成年初预算的121.08%，其中：</w:t>
      </w:r>
    </w:p>
    <w:p w14:paraId="4C8E1F96">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1、科学技术支出（类）科学技术普及（款）其他科学技术普及支出（项）。</w:t>
      </w:r>
    </w:p>
    <w:p w14:paraId="683ADAA8">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年初预算为0万元，支出决算为3万元，</w:t>
      </w:r>
      <w:r>
        <w:rPr>
          <w:rFonts w:hint="eastAsia" w:asciiTheme="minorEastAsia" w:hAnsiTheme="minorEastAsia" w:eastAsiaTheme="minorEastAsia"/>
          <w:sz w:val="32"/>
          <w:szCs w:val="32"/>
          <w:lang w:val="en-US" w:eastAsia="zh-CN"/>
        </w:rPr>
        <w:t>由于预算数为0，无法计算百分比。</w:t>
      </w:r>
      <w:r>
        <w:rPr>
          <w:rFonts w:hint="eastAsia" w:asciiTheme="minorEastAsia" w:hAnsiTheme="minorEastAsia" w:eastAsiaTheme="minorEastAsia"/>
          <w:sz w:val="32"/>
          <w:szCs w:val="32"/>
        </w:rPr>
        <w:t>决算数大于年初预算数的主要原因是：该笔支出主要是年中追加的创新型省份建设专项资金。</w:t>
      </w:r>
    </w:p>
    <w:p w14:paraId="32D6622E">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2、科学技术支出（类）其他科学技术支出（款）科技奖励（项）。</w:t>
      </w:r>
    </w:p>
    <w:p w14:paraId="0F730B30">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年初预算为0万元，支出决算为5万元，</w:t>
      </w:r>
      <w:r>
        <w:rPr>
          <w:rFonts w:hint="eastAsia" w:asciiTheme="minorEastAsia" w:hAnsiTheme="minorEastAsia" w:eastAsiaTheme="minorEastAsia"/>
          <w:sz w:val="32"/>
          <w:szCs w:val="32"/>
          <w:lang w:val="en-US" w:eastAsia="zh-CN"/>
        </w:rPr>
        <w:t>由于预算数为0，无法计算百分比。</w:t>
      </w:r>
      <w:r>
        <w:rPr>
          <w:rFonts w:hint="eastAsia" w:asciiTheme="minorEastAsia" w:hAnsiTheme="minorEastAsia" w:eastAsiaTheme="minorEastAsia"/>
          <w:sz w:val="32"/>
          <w:szCs w:val="32"/>
        </w:rPr>
        <w:t>决算数大于年初预算数的主要原因是：该笔支出主要是年中追加的创新型省份建设专项资金。</w:t>
      </w:r>
    </w:p>
    <w:p w14:paraId="6971705B">
      <w:pPr>
        <w:pStyle w:val="9"/>
        <w:numPr>
          <w:ilvl w:val="0"/>
          <w:numId w:val="2"/>
        </w:numPr>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社会保障和就业支出（类）行政事业单位养老支出（款）事业单位离退休（项）。</w:t>
      </w:r>
    </w:p>
    <w:p w14:paraId="71EA213C">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年初预算为26</w:t>
      </w:r>
      <w:r>
        <w:rPr>
          <w:rFonts w:asciiTheme="minorEastAsia" w:hAnsiTheme="minorEastAsia" w:eastAsiaTheme="minorEastAsia"/>
          <w:sz w:val="32"/>
          <w:szCs w:val="32"/>
        </w:rPr>
        <w:t>2</w:t>
      </w:r>
      <w:r>
        <w:rPr>
          <w:rFonts w:hint="eastAsia" w:asciiTheme="minorEastAsia" w:hAnsiTheme="minorEastAsia" w:eastAsiaTheme="minorEastAsia"/>
          <w:sz w:val="32"/>
          <w:szCs w:val="32"/>
        </w:rPr>
        <w:t>.</w:t>
      </w:r>
      <w:r>
        <w:rPr>
          <w:rFonts w:asciiTheme="minorEastAsia" w:hAnsiTheme="minorEastAsia" w:eastAsiaTheme="minorEastAsia"/>
          <w:sz w:val="32"/>
          <w:szCs w:val="32"/>
        </w:rPr>
        <w:t>7</w:t>
      </w:r>
      <w:r>
        <w:rPr>
          <w:rFonts w:hint="eastAsia" w:asciiTheme="minorEastAsia" w:hAnsiTheme="minorEastAsia" w:eastAsiaTheme="minorEastAsia"/>
          <w:sz w:val="32"/>
          <w:szCs w:val="32"/>
        </w:rPr>
        <w:t>6万元，支出决算为26</w:t>
      </w:r>
      <w:r>
        <w:rPr>
          <w:rFonts w:asciiTheme="minorEastAsia" w:hAnsiTheme="minorEastAsia" w:eastAsiaTheme="minorEastAsia"/>
          <w:sz w:val="32"/>
          <w:szCs w:val="32"/>
        </w:rPr>
        <w:t>3</w:t>
      </w:r>
      <w:r>
        <w:rPr>
          <w:rFonts w:hint="eastAsia" w:asciiTheme="minorEastAsia" w:hAnsiTheme="minorEastAsia" w:eastAsiaTheme="minorEastAsia"/>
          <w:sz w:val="32"/>
          <w:szCs w:val="32"/>
        </w:rPr>
        <w:t>.</w:t>
      </w:r>
      <w:r>
        <w:rPr>
          <w:rFonts w:asciiTheme="minorEastAsia" w:hAnsiTheme="minorEastAsia" w:eastAsiaTheme="minorEastAsia"/>
          <w:sz w:val="32"/>
          <w:szCs w:val="32"/>
        </w:rPr>
        <w:t>9</w:t>
      </w:r>
      <w:r>
        <w:rPr>
          <w:rFonts w:hint="eastAsia" w:asciiTheme="minorEastAsia" w:hAnsiTheme="minorEastAsia" w:eastAsiaTheme="minorEastAsia"/>
          <w:sz w:val="32"/>
          <w:szCs w:val="32"/>
        </w:rPr>
        <w:t>6万元，完成年初预算的100</w:t>
      </w:r>
      <w:r>
        <w:rPr>
          <w:rFonts w:asciiTheme="minorEastAsia" w:hAnsiTheme="minorEastAsia" w:eastAsiaTheme="minorEastAsia"/>
          <w:sz w:val="32"/>
          <w:szCs w:val="32"/>
        </w:rPr>
        <w:t>.46</w:t>
      </w:r>
      <w:r>
        <w:rPr>
          <w:rFonts w:hint="eastAsia" w:asciiTheme="minorEastAsia" w:hAnsiTheme="minorEastAsia" w:eastAsiaTheme="minorEastAsia"/>
          <w:sz w:val="32"/>
          <w:szCs w:val="32"/>
        </w:rPr>
        <w:t>%，决算数大于年初预算数的主要原因是：年中追加的</w:t>
      </w:r>
      <w:r>
        <w:rPr>
          <w:rFonts w:hint="eastAsia" w:asciiTheme="minorEastAsia" w:hAnsiTheme="minorEastAsia" w:eastAsiaTheme="minorEastAsia"/>
          <w:sz w:val="32"/>
          <w:szCs w:val="32"/>
          <w:lang w:eastAsia="zh-CN"/>
        </w:rPr>
        <w:t>中华人民共和国成立</w:t>
      </w:r>
      <w:r>
        <w:rPr>
          <w:rFonts w:hint="eastAsia" w:asciiTheme="minorEastAsia" w:hAnsiTheme="minorEastAsia" w:eastAsiaTheme="minorEastAsia"/>
          <w:sz w:val="32"/>
          <w:szCs w:val="32"/>
        </w:rPr>
        <w:t>初期参加革命工作的部分退休干部生活补贴和医疗补贴提标。</w:t>
      </w:r>
    </w:p>
    <w:p w14:paraId="3BF5AB0B">
      <w:pPr>
        <w:pStyle w:val="9"/>
        <w:numPr>
          <w:ilvl w:val="0"/>
          <w:numId w:val="2"/>
        </w:numPr>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社会保障和就业支出（类）行政事业单位养老支出（款）机关事业单位基本养老保险缴费支出（项）。</w:t>
      </w:r>
    </w:p>
    <w:p w14:paraId="5161DE5A">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年初预算为1045.85万元，支出决算为1045.85万元，完成年初预算的100%。</w:t>
      </w:r>
    </w:p>
    <w:p w14:paraId="5A54EBA7">
      <w:pPr>
        <w:pStyle w:val="9"/>
        <w:numPr>
          <w:ilvl w:val="0"/>
          <w:numId w:val="2"/>
        </w:numPr>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卫生健康支出（类）行政事业单位医疗（款）事业单位医疗（项）。</w:t>
      </w:r>
    </w:p>
    <w:p w14:paraId="7240DDED">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年初预算为427.23万元，支出决算为427.23万元，完成年初预算的100%。</w:t>
      </w:r>
    </w:p>
    <w:p w14:paraId="12327E19">
      <w:pPr>
        <w:pStyle w:val="9"/>
        <w:numPr>
          <w:ilvl w:val="0"/>
          <w:numId w:val="2"/>
        </w:numPr>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资源勘探工业信息等支出（类）资源勘探开发（款）其他资源勘探业支出（项）。</w:t>
      </w:r>
    </w:p>
    <w:p w14:paraId="7B7E80DB">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年初预算为0万元，支出决算为79.34万元，</w:t>
      </w:r>
      <w:r>
        <w:rPr>
          <w:rFonts w:hint="eastAsia" w:asciiTheme="minorEastAsia" w:hAnsiTheme="minorEastAsia" w:eastAsiaTheme="minorEastAsia"/>
          <w:sz w:val="32"/>
          <w:szCs w:val="32"/>
          <w:lang w:val="en-US" w:eastAsia="zh-CN"/>
        </w:rPr>
        <w:t>由于预算数为0，无法计算百分比。</w:t>
      </w:r>
      <w:r>
        <w:rPr>
          <w:rFonts w:hint="eastAsia" w:asciiTheme="minorEastAsia" w:hAnsiTheme="minorEastAsia" w:eastAsiaTheme="minorEastAsia"/>
          <w:sz w:val="32"/>
          <w:szCs w:val="32"/>
        </w:rPr>
        <w:t>决算数大于年初预算数的主要原因是：该笔支出主要是年中追加的“资产清算”专项、"老工伤“一次性伤残补助金”、职业病遗属补助专项。</w:t>
      </w:r>
    </w:p>
    <w:p w14:paraId="1BF641C7">
      <w:pPr>
        <w:pStyle w:val="9"/>
        <w:numPr>
          <w:ilvl w:val="0"/>
          <w:numId w:val="2"/>
        </w:numPr>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资源勘探工业信息等支出（类）其他资源勘探工业信息等支出（款）其他资源勘探工业信息等支出（项）。</w:t>
      </w:r>
    </w:p>
    <w:p w14:paraId="409BFA93">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年初预算为0万元，支出决算为60万元，</w:t>
      </w:r>
      <w:r>
        <w:rPr>
          <w:rFonts w:hint="eastAsia" w:asciiTheme="minorEastAsia" w:hAnsiTheme="minorEastAsia" w:eastAsiaTheme="minorEastAsia"/>
          <w:sz w:val="32"/>
          <w:szCs w:val="32"/>
          <w:lang w:val="en-US" w:eastAsia="zh-CN"/>
        </w:rPr>
        <w:t>由于预算数为0，无法计算百分比。</w:t>
      </w:r>
      <w:r>
        <w:rPr>
          <w:rFonts w:hint="eastAsia" w:asciiTheme="minorEastAsia" w:hAnsiTheme="minorEastAsia" w:eastAsiaTheme="minorEastAsia"/>
          <w:sz w:val="32"/>
          <w:szCs w:val="32"/>
        </w:rPr>
        <w:t>决算数大于年初预算数的主要原因是：该笔支出主要是年中追加的轨道交通盾构近接施工环境耦合影响与控制关键技术研究经费补助。</w:t>
      </w:r>
    </w:p>
    <w:p w14:paraId="4CC6B0F5">
      <w:pPr>
        <w:pStyle w:val="9"/>
        <w:numPr>
          <w:ilvl w:val="0"/>
          <w:numId w:val="2"/>
        </w:numPr>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自然资源海洋气象等支出（类）自然资源事务（款）自然资源社会公益服务（项）。</w:t>
      </w:r>
    </w:p>
    <w:p w14:paraId="58F2512A">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年初预算为0万元，支出决算为35万元，</w:t>
      </w:r>
      <w:r>
        <w:rPr>
          <w:rFonts w:hint="eastAsia" w:asciiTheme="minorEastAsia" w:hAnsiTheme="minorEastAsia" w:eastAsiaTheme="minorEastAsia"/>
          <w:sz w:val="32"/>
          <w:szCs w:val="32"/>
          <w:lang w:val="en-US" w:eastAsia="zh-CN"/>
        </w:rPr>
        <w:t>由于预算数为0，无法计算百分比。</w:t>
      </w:r>
      <w:r>
        <w:rPr>
          <w:rFonts w:hint="eastAsia" w:asciiTheme="minorEastAsia" w:hAnsiTheme="minorEastAsia" w:eastAsiaTheme="minorEastAsia"/>
          <w:sz w:val="32"/>
          <w:szCs w:val="32"/>
        </w:rPr>
        <w:t>决算数大于年初预算数的主要原因是：该笔支出主要是年中追加的自然资源保护和利用专项资金。</w:t>
      </w:r>
    </w:p>
    <w:p w14:paraId="4FB32E03">
      <w:pPr>
        <w:pStyle w:val="9"/>
        <w:numPr>
          <w:ilvl w:val="0"/>
          <w:numId w:val="2"/>
        </w:numPr>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自然资源海洋气象等支出（类）自然资源事务（款）自然资源调查与确权登记（项）。</w:t>
      </w:r>
    </w:p>
    <w:p w14:paraId="00F384BC">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年初预算为0万元，支出决算为540万元，</w:t>
      </w:r>
      <w:r>
        <w:rPr>
          <w:rFonts w:hint="eastAsia" w:asciiTheme="minorEastAsia" w:hAnsiTheme="minorEastAsia" w:eastAsiaTheme="minorEastAsia"/>
          <w:sz w:val="32"/>
          <w:szCs w:val="32"/>
          <w:lang w:val="en-US" w:eastAsia="zh-CN"/>
        </w:rPr>
        <w:t>由于预算数为0，无法计算百分比。</w:t>
      </w:r>
      <w:r>
        <w:rPr>
          <w:rFonts w:hint="eastAsia" w:asciiTheme="minorEastAsia" w:hAnsiTheme="minorEastAsia" w:eastAsiaTheme="minorEastAsia"/>
          <w:sz w:val="32"/>
          <w:szCs w:val="32"/>
        </w:rPr>
        <w:t>决算数大于年初预算数的主要原因是：该笔支出主要是年中追加的自然资源保护和利用专项资金。</w:t>
      </w:r>
    </w:p>
    <w:p w14:paraId="1B846126">
      <w:pPr>
        <w:pStyle w:val="9"/>
        <w:numPr>
          <w:ilvl w:val="0"/>
          <w:numId w:val="2"/>
        </w:numPr>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自然资源海洋气象等支出（类）自然资源事务（款）基础测绘与地理信息监管（项）。</w:t>
      </w:r>
    </w:p>
    <w:p w14:paraId="22754E1A">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年初预算为0万元，支出决算为141.93万元，</w:t>
      </w:r>
      <w:r>
        <w:rPr>
          <w:rFonts w:hint="eastAsia" w:asciiTheme="minorEastAsia" w:hAnsiTheme="minorEastAsia" w:eastAsiaTheme="minorEastAsia"/>
          <w:sz w:val="32"/>
          <w:szCs w:val="32"/>
          <w:lang w:val="en-US" w:eastAsia="zh-CN"/>
        </w:rPr>
        <w:t>由于预算数为0，无法计算百分比。</w:t>
      </w:r>
      <w:r>
        <w:rPr>
          <w:rFonts w:hint="eastAsia" w:asciiTheme="minorEastAsia" w:hAnsiTheme="minorEastAsia" w:eastAsiaTheme="minorEastAsia"/>
          <w:sz w:val="32"/>
          <w:szCs w:val="32"/>
        </w:rPr>
        <w:t>决算数大于年初预算数的主要原因是：该笔支出主要是年中追加的2021年测绘地理信息项目资金。</w:t>
      </w:r>
    </w:p>
    <w:p w14:paraId="2D62D620">
      <w:pPr>
        <w:pStyle w:val="9"/>
        <w:numPr>
          <w:ilvl w:val="0"/>
          <w:numId w:val="2"/>
        </w:numPr>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自然资源海洋气象等支出（类）自然资源事务（款）地质矿产资源与环境调查（项）。</w:t>
      </w:r>
    </w:p>
    <w:p w14:paraId="2358E5BB">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年初预算为0万元，支出决算为161.68万元，</w:t>
      </w:r>
      <w:r>
        <w:rPr>
          <w:rFonts w:hint="eastAsia" w:asciiTheme="minorEastAsia" w:hAnsiTheme="minorEastAsia" w:eastAsiaTheme="minorEastAsia"/>
          <w:sz w:val="32"/>
          <w:szCs w:val="32"/>
          <w:lang w:val="en-US" w:eastAsia="zh-CN"/>
        </w:rPr>
        <w:t>由于预算数为0，无法计算百分比。</w:t>
      </w:r>
      <w:r>
        <w:rPr>
          <w:rFonts w:hint="eastAsia" w:asciiTheme="minorEastAsia" w:hAnsiTheme="minorEastAsia" w:eastAsiaTheme="minorEastAsia"/>
          <w:sz w:val="32"/>
          <w:szCs w:val="32"/>
        </w:rPr>
        <w:t>决算数大于年初预算数的主要原因是：该笔支出主要是年中追加的2021年矿产资源国情调查等项目资金。</w:t>
      </w:r>
    </w:p>
    <w:p w14:paraId="1875783C">
      <w:pPr>
        <w:pStyle w:val="9"/>
        <w:numPr>
          <w:ilvl w:val="0"/>
          <w:numId w:val="2"/>
        </w:numPr>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自然资源海洋气象等支出（类）自然资源事务（款）事业运行（项）。</w:t>
      </w:r>
    </w:p>
    <w:p w14:paraId="2F122F91">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年初预算为5481.24万元，支出决算为5481.24万元，完成年初预算的100%。</w:t>
      </w:r>
    </w:p>
    <w:p w14:paraId="2C712D56">
      <w:pPr>
        <w:pStyle w:val="9"/>
        <w:numPr>
          <w:ilvl w:val="0"/>
          <w:numId w:val="2"/>
        </w:numPr>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自然资源海洋气象等支出（类）自然资源事务（款）其他自然资源事务支出（项）。</w:t>
      </w:r>
    </w:p>
    <w:p w14:paraId="323CC1D0">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年初预算为0万元，支出决算为20.77万元，</w:t>
      </w:r>
      <w:r>
        <w:rPr>
          <w:rFonts w:hint="eastAsia" w:asciiTheme="minorEastAsia" w:hAnsiTheme="minorEastAsia" w:eastAsiaTheme="minorEastAsia"/>
          <w:sz w:val="32"/>
          <w:szCs w:val="32"/>
          <w:lang w:val="en-US" w:eastAsia="zh-CN"/>
        </w:rPr>
        <w:t>由于预算数为0，无法计算百分比。</w:t>
      </w:r>
      <w:r>
        <w:rPr>
          <w:rFonts w:hint="eastAsia" w:asciiTheme="minorEastAsia" w:hAnsiTheme="minorEastAsia" w:eastAsiaTheme="minorEastAsia"/>
          <w:sz w:val="32"/>
          <w:szCs w:val="32"/>
        </w:rPr>
        <w:t>决算数大于年初预算数的主要原因是：该笔支出主要是年中追加的水利相关课题研究经费补助。</w:t>
      </w:r>
    </w:p>
    <w:p w14:paraId="6ABEA084">
      <w:pPr>
        <w:pStyle w:val="9"/>
        <w:numPr>
          <w:ilvl w:val="0"/>
          <w:numId w:val="2"/>
        </w:numPr>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住房保障支出（类）住房改革支出（款）住房公积金（项）。</w:t>
      </w:r>
    </w:p>
    <w:p w14:paraId="2819CD1F">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年初预算为527.16万元，支出决算为527.16万元，完成年初预算的100%。</w:t>
      </w:r>
    </w:p>
    <w:p w14:paraId="26784F6E">
      <w:pPr>
        <w:pStyle w:val="9"/>
        <w:numPr>
          <w:ilvl w:val="0"/>
          <w:numId w:val="2"/>
        </w:numPr>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灾害防治及应急管理支出（类）应急管理事务（款）其他应急管理支出（项）。</w:t>
      </w:r>
    </w:p>
    <w:p w14:paraId="6CA74AF3">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年初预算为0万元，支出决算为50万元，</w:t>
      </w:r>
      <w:r>
        <w:rPr>
          <w:rFonts w:hint="eastAsia" w:asciiTheme="minorEastAsia" w:hAnsiTheme="minorEastAsia" w:eastAsiaTheme="minorEastAsia"/>
          <w:sz w:val="32"/>
          <w:szCs w:val="32"/>
          <w:lang w:val="en-US" w:eastAsia="zh-CN"/>
        </w:rPr>
        <w:t>由于预算数为0，无法计算百分比。</w:t>
      </w:r>
      <w:r>
        <w:rPr>
          <w:rFonts w:hint="eastAsia" w:asciiTheme="minorEastAsia" w:hAnsiTheme="minorEastAsia" w:eastAsiaTheme="minorEastAsia"/>
          <w:sz w:val="32"/>
          <w:szCs w:val="32"/>
        </w:rPr>
        <w:t>决算数大于年初预算数的主要原因是：该笔支出主要是年中追加的2021年安全生产预防及应急专项资金。</w:t>
      </w:r>
    </w:p>
    <w:p w14:paraId="37956176">
      <w:pPr>
        <w:pStyle w:val="9"/>
        <w:numPr>
          <w:ilvl w:val="0"/>
          <w:numId w:val="2"/>
        </w:numPr>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灾害防治及应急管理支出（类）自然灾害防治（款）地质灾害防治（项）。</w:t>
      </w:r>
    </w:p>
    <w:p w14:paraId="0C96420E">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年初预算为0万元，支出决算为367万元，</w:t>
      </w:r>
      <w:r>
        <w:rPr>
          <w:rFonts w:hint="eastAsia" w:asciiTheme="minorEastAsia" w:hAnsiTheme="minorEastAsia" w:eastAsiaTheme="minorEastAsia"/>
          <w:sz w:val="32"/>
          <w:szCs w:val="32"/>
          <w:lang w:val="en-US" w:eastAsia="zh-CN"/>
        </w:rPr>
        <w:t>由于预算数为0，无法计算百分比。</w:t>
      </w:r>
      <w:r>
        <w:rPr>
          <w:rFonts w:hint="eastAsia" w:asciiTheme="minorEastAsia" w:hAnsiTheme="minorEastAsia" w:eastAsiaTheme="minorEastAsia"/>
          <w:sz w:val="32"/>
          <w:szCs w:val="32"/>
        </w:rPr>
        <w:t>决算数大于年初预算数的主要原因是：该笔支出主要是年中追加的自然灾害防治体系建设补助资金。</w:t>
      </w:r>
    </w:p>
    <w:p w14:paraId="0B14D13C">
      <w:pPr>
        <w:pStyle w:val="9"/>
        <w:numPr>
          <w:ilvl w:val="0"/>
          <w:numId w:val="2"/>
        </w:numPr>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灾害防治及应急管理支出（类）其他灾害防治及应急管理支出（款）其他灾害防治及应急管理支出（项）。</w:t>
      </w:r>
    </w:p>
    <w:p w14:paraId="7A4B91CC">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年初预算为0万元，支出决算为169万元，</w:t>
      </w:r>
      <w:r>
        <w:rPr>
          <w:rFonts w:hint="eastAsia" w:asciiTheme="minorEastAsia" w:hAnsiTheme="minorEastAsia" w:eastAsiaTheme="minorEastAsia"/>
          <w:sz w:val="32"/>
          <w:szCs w:val="32"/>
          <w:lang w:val="en-US" w:eastAsia="zh-CN"/>
        </w:rPr>
        <w:t>由于预算数为0，无法计算百分比。</w:t>
      </w:r>
      <w:r>
        <w:rPr>
          <w:rFonts w:hint="eastAsia" w:asciiTheme="minorEastAsia" w:hAnsiTheme="minorEastAsia" w:eastAsiaTheme="minorEastAsia"/>
          <w:sz w:val="32"/>
          <w:szCs w:val="32"/>
        </w:rPr>
        <w:t>决算数大于年初预算数的主要原因是：该笔支出主要是年中追加的2020年中央自然灾害救灾资金(地质灾害救灾)。</w:t>
      </w:r>
    </w:p>
    <w:p w14:paraId="27A5853A">
      <w:pPr>
        <w:pStyle w:val="9"/>
        <w:rPr>
          <w:rFonts w:hAnsi="黑体"/>
          <w:b/>
          <w:sz w:val="32"/>
          <w:szCs w:val="32"/>
        </w:rPr>
      </w:pPr>
      <w:r>
        <w:rPr>
          <w:rFonts w:hint="eastAsia" w:hAnsi="黑体"/>
          <w:b/>
          <w:sz w:val="32"/>
          <w:szCs w:val="32"/>
        </w:rPr>
        <w:t>六、一般公共预算财政拨款基本支出决算情况说明</w:t>
      </w:r>
    </w:p>
    <w:p w14:paraId="1BD96A49">
      <w:pPr>
        <w:pStyle w:val="9"/>
        <w:ind w:firstLine="640" w:firstLineChars="200"/>
        <w:rPr>
          <w:rFonts w:asciiTheme="minorEastAsia" w:hAnsiTheme="minorEastAsia" w:eastAsiaTheme="minorEastAsia"/>
          <w:i/>
          <w:color w:val="FF0000"/>
          <w:sz w:val="32"/>
          <w:szCs w:val="32"/>
          <w:highlight w:val="none"/>
        </w:rPr>
      </w:pPr>
      <w:r>
        <w:rPr>
          <w:rFonts w:hint="eastAsia" w:asciiTheme="minorEastAsia" w:hAnsiTheme="minorEastAsia" w:eastAsiaTheme="minorEastAsia"/>
          <w:sz w:val="32"/>
          <w:szCs w:val="32"/>
          <w:highlight w:val="none"/>
        </w:rPr>
        <w:t>2021年度财政拨款基本支出7745.44万元，其中：人员经费7645.44万元，占基本支出的98.71%,主要包括基本工资、津贴补贴、绩效工资、机关事业单位基本养老保险缴费、职工基本医疗保险缴费、其他社会保障缴费、住房公积金；公用经费100万元，占基本支出的1.29%，主要包括工会经费。</w:t>
      </w:r>
    </w:p>
    <w:p w14:paraId="2B170432">
      <w:pPr>
        <w:pStyle w:val="9"/>
        <w:rPr>
          <w:rFonts w:hAnsi="黑体"/>
          <w:b/>
          <w:sz w:val="32"/>
          <w:szCs w:val="32"/>
        </w:rPr>
      </w:pPr>
      <w:r>
        <w:rPr>
          <w:rFonts w:hint="eastAsia" w:hAnsi="黑体"/>
          <w:b/>
          <w:sz w:val="32"/>
          <w:szCs w:val="32"/>
        </w:rPr>
        <w:t>七、一般公共预算财政拨款“三公”经费支出决算情况说明</w:t>
      </w:r>
    </w:p>
    <w:p w14:paraId="1A5067E4">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14:paraId="5081E4D3">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2021年度“三公”经费财政拨款支出预算为0万元，支出决算为0万元，由于预算数为0，无法计算百分比，其中：</w:t>
      </w:r>
    </w:p>
    <w:p w14:paraId="5BCE3622">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因公出国（境）费支出预算为0万元，支出决算为0万元，由于预算数为0，无法计算百分比，与上年相比未减少（增加）。</w:t>
      </w:r>
    </w:p>
    <w:p w14:paraId="7732DFA3">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公务接待费支出预算为0万元，支出决算为0万元，由于预算数为0，无法计算百分比，与上年相比未减少（增加）。</w:t>
      </w:r>
    </w:p>
    <w:p w14:paraId="63D1D41D">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公务用车购置费支出预算为0万元，支出决算为0万元，由于预算数为0，无法计算百分比，与上年相比未减少（增加）。</w:t>
      </w:r>
    </w:p>
    <w:p w14:paraId="0AB9A100">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公务用车运行维护费支出预算为0万元，支出决算为0万元，由于预算数为0，无法计算百分比，与上年相比未减少（增加）。</w:t>
      </w:r>
    </w:p>
    <w:p w14:paraId="52CAD457">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14:paraId="61351F93">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2021年度“三公”经费财政拨款支出决算中，公务接待费支出决算0万元，占0%,因公出国（境）费支出决算0万元，占0%,公务用车购置费及运行维护费支出决算0万元，占0%。其中：</w:t>
      </w:r>
    </w:p>
    <w:p w14:paraId="6722B797">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sz w:val="32"/>
          <w:szCs w:val="32"/>
        </w:rPr>
        <w:t>1、因公出国（境）费支出决算为0万元，全年安排因公出国（境）团组0个，累计0人次。</w:t>
      </w:r>
    </w:p>
    <w:p w14:paraId="3044C129">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2、公务接待费支出决算为0万元，全年共接待来访团组0个、来宾0人次。</w:t>
      </w:r>
    </w:p>
    <w:p w14:paraId="69CCAECC">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3、公务用车购置费及运行维护费支出决算为0万元，其中：公务用车购置费0万元，更新公务用车0辆</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公务用车运行维护费0万元，截止2021年12月31日，我单位开支财政拨款的公务用车保有量为0辆。</w:t>
      </w:r>
    </w:p>
    <w:p w14:paraId="10E46D94">
      <w:pPr>
        <w:pStyle w:val="9"/>
        <w:rPr>
          <w:rFonts w:hAnsi="黑体"/>
          <w:b/>
          <w:sz w:val="32"/>
          <w:szCs w:val="32"/>
        </w:rPr>
      </w:pPr>
      <w:r>
        <w:rPr>
          <w:rFonts w:hint="eastAsia" w:hAnsi="黑体"/>
          <w:b/>
          <w:sz w:val="32"/>
          <w:szCs w:val="32"/>
        </w:rPr>
        <w:t>八、政府性基金预算收入支出决算情况</w:t>
      </w:r>
    </w:p>
    <w:p w14:paraId="55DF2DA9">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2021年度政府性基金预算财政拨款收入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万元；年初结转和结余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万元；年末结转和结余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14:paraId="019CF32E">
      <w:pPr>
        <w:pStyle w:val="9"/>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本单位无政府性基金预算收入支出</w:t>
      </w:r>
      <w:r>
        <w:rPr>
          <w:rFonts w:hint="eastAsia" w:asciiTheme="minorEastAsia" w:hAnsiTheme="minorEastAsia" w:eastAsiaTheme="minorEastAsia"/>
          <w:sz w:val="32"/>
          <w:szCs w:val="32"/>
          <w:lang w:eastAsia="zh-CN"/>
        </w:rPr>
        <w:t>。</w:t>
      </w:r>
    </w:p>
    <w:p w14:paraId="7593813E">
      <w:pPr>
        <w:pStyle w:val="9"/>
        <w:rPr>
          <w:rFonts w:hAnsi="黑体"/>
          <w:b/>
          <w:sz w:val="32"/>
          <w:szCs w:val="32"/>
        </w:rPr>
      </w:pPr>
      <w:r>
        <w:rPr>
          <w:rFonts w:hint="eastAsia" w:hAnsi="黑体"/>
          <w:b/>
          <w:sz w:val="32"/>
          <w:szCs w:val="32"/>
        </w:rPr>
        <w:t>九、机关运行经费支出说明</w:t>
      </w:r>
    </w:p>
    <w:p w14:paraId="27C5054F">
      <w:pPr>
        <w:pStyle w:val="9"/>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本</w:t>
      </w:r>
      <w:r>
        <w:rPr>
          <w:rFonts w:hint="eastAsia" w:asciiTheme="minorEastAsia" w:hAnsiTheme="minorEastAsia" w:eastAsiaTheme="minorEastAsia"/>
          <w:sz w:val="32"/>
          <w:szCs w:val="32"/>
          <w:lang w:eastAsia="zh-CN"/>
        </w:rPr>
        <w:t>单位</w:t>
      </w:r>
      <w:r>
        <w:rPr>
          <w:rFonts w:hint="eastAsia" w:asciiTheme="minorEastAsia" w:hAnsiTheme="minorEastAsia" w:eastAsiaTheme="minorEastAsia"/>
          <w:sz w:val="32"/>
          <w:szCs w:val="32"/>
        </w:rPr>
        <w:t>2021年度机关运行经费支出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万元，比年初预算数增加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14:paraId="45AC0A2B">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本单位无机关运行经费支出。</w:t>
      </w:r>
    </w:p>
    <w:p w14:paraId="64A739AC">
      <w:pPr>
        <w:pStyle w:val="9"/>
        <w:rPr>
          <w:rFonts w:hAnsi="黑体"/>
          <w:b/>
          <w:sz w:val="32"/>
          <w:szCs w:val="32"/>
        </w:rPr>
      </w:pPr>
      <w:r>
        <w:rPr>
          <w:rFonts w:hint="eastAsia" w:hAnsi="黑体"/>
          <w:b/>
          <w:sz w:val="32"/>
          <w:szCs w:val="32"/>
        </w:rPr>
        <w:t>十、一般性支出情况说明</w:t>
      </w:r>
    </w:p>
    <w:p w14:paraId="4EE859C6">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2021年本</w:t>
      </w:r>
      <w:r>
        <w:rPr>
          <w:rFonts w:hint="eastAsia" w:asciiTheme="minorEastAsia" w:hAnsiTheme="minorEastAsia" w:eastAsiaTheme="minorEastAsia"/>
          <w:sz w:val="32"/>
          <w:szCs w:val="32"/>
          <w:lang w:eastAsia="zh-CN"/>
        </w:rPr>
        <w:t>单位</w:t>
      </w:r>
      <w:r>
        <w:rPr>
          <w:rFonts w:hint="eastAsia" w:asciiTheme="minorEastAsia" w:hAnsiTheme="minorEastAsia" w:eastAsiaTheme="minorEastAsia"/>
          <w:sz w:val="32"/>
          <w:szCs w:val="32"/>
        </w:rPr>
        <w:t>开支会议费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万元，人数</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人；开支培训费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万元，人数</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w:t>
      </w:r>
      <w:r>
        <w:rPr>
          <w:rFonts w:hint="eastAsia" w:asciiTheme="minorEastAsia" w:hAnsiTheme="minorEastAsia" w:eastAsiaTheme="minorEastAsia"/>
          <w:sz w:val="32"/>
          <w:szCs w:val="32"/>
          <w:lang w:eastAsia="zh-CN"/>
        </w:rPr>
        <w:t>未</w:t>
      </w:r>
      <w:r>
        <w:rPr>
          <w:rFonts w:hint="eastAsia" w:asciiTheme="minorEastAsia" w:hAnsiTheme="minorEastAsia" w:eastAsiaTheme="minorEastAsia"/>
          <w:sz w:val="32"/>
          <w:szCs w:val="32"/>
        </w:rPr>
        <w:t>举办节庆、晚会、论坛、赛事活动，开支</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14:paraId="15E8B725">
      <w:pPr>
        <w:pStyle w:val="9"/>
        <w:rPr>
          <w:rFonts w:hAnsi="黑体"/>
          <w:b/>
          <w:sz w:val="32"/>
          <w:szCs w:val="32"/>
        </w:rPr>
      </w:pPr>
      <w:r>
        <w:rPr>
          <w:rFonts w:hint="eastAsia" w:hAnsi="黑体"/>
          <w:b/>
          <w:sz w:val="32"/>
          <w:szCs w:val="32"/>
        </w:rPr>
        <w:t>十一、政府采购支出说明</w:t>
      </w:r>
    </w:p>
    <w:p w14:paraId="60071868">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政府采购支出总额50万元，其中：政府采购货物支出50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14:paraId="3DBCE23E">
      <w:pPr>
        <w:pStyle w:val="9"/>
        <w:rPr>
          <w:rFonts w:hAnsi="黑体"/>
          <w:b/>
          <w:sz w:val="32"/>
          <w:szCs w:val="32"/>
        </w:rPr>
      </w:pPr>
      <w:r>
        <w:rPr>
          <w:rFonts w:hint="eastAsia" w:hAnsi="黑体"/>
          <w:b/>
          <w:sz w:val="32"/>
          <w:szCs w:val="32"/>
        </w:rPr>
        <w:t>十二、国有资产占用情况说明</w:t>
      </w:r>
    </w:p>
    <w:p w14:paraId="454F80D3">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2021年12月31日，本单位共有车辆1辆，其中，主要领导干部用车0辆，机要通信用车0辆、应急保障用车0辆、执法执勤用车辆、特种专业技术用车辆、其他用车1辆，其他用车主要是项目生产野外用车；单位价值50万元以上通用设备1台（套）；单位价值100万元以上专用设备2台（套）。</w:t>
      </w:r>
    </w:p>
    <w:p w14:paraId="6D84921D">
      <w:pPr>
        <w:pStyle w:val="9"/>
        <w:rPr>
          <w:rFonts w:hAnsi="黑体"/>
          <w:b/>
          <w:sz w:val="32"/>
          <w:szCs w:val="32"/>
        </w:rPr>
      </w:pPr>
      <w:r>
        <w:rPr>
          <w:rFonts w:hint="eastAsia" w:hAnsi="黑体"/>
          <w:b/>
          <w:sz w:val="32"/>
          <w:szCs w:val="32"/>
        </w:rPr>
        <w:t>十三、2021年度预算绩效情况说明</w:t>
      </w:r>
    </w:p>
    <w:p w14:paraId="7584292B">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根据预算绩效管理要求，我</w:t>
      </w:r>
      <w:r>
        <w:rPr>
          <w:rFonts w:hint="eastAsia" w:cs="黑体" w:asciiTheme="minorEastAsia" w:hAnsiTheme="minorEastAsia"/>
          <w:color w:val="000000"/>
          <w:kern w:val="0"/>
          <w:sz w:val="32"/>
          <w:szCs w:val="32"/>
          <w:lang w:eastAsia="zh-CN"/>
        </w:rPr>
        <w:t>单位</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年度一般公共预算项目支出全面开展绩效自评，涉及一般公共预算支出14129.76万元，政府性基金预算支出0万元。</w:t>
      </w:r>
      <w:r>
        <w:rPr>
          <w:rFonts w:hint="eastAsia" w:ascii="宋体" w:hAnsi="宋体" w:eastAsia="宋体"/>
          <w:sz w:val="32"/>
          <w:szCs w:val="32"/>
        </w:rPr>
        <w:t>本</w:t>
      </w:r>
      <w:r>
        <w:rPr>
          <w:rFonts w:hint="eastAsia" w:ascii="宋体" w:hAnsi="宋体" w:eastAsia="宋体"/>
          <w:sz w:val="32"/>
          <w:szCs w:val="32"/>
          <w:lang w:eastAsia="zh-CN"/>
        </w:rPr>
        <w:t>单位</w:t>
      </w:r>
      <w:r>
        <w:rPr>
          <w:rFonts w:hint="eastAsia" w:ascii="宋体" w:hAnsi="宋体" w:eastAsia="宋体"/>
          <w:sz w:val="32"/>
          <w:szCs w:val="32"/>
        </w:rPr>
        <w:t>预算绩效管理开展情况、绩效目标和绩效评价报告</w:t>
      </w:r>
      <w:r>
        <w:rPr>
          <w:rFonts w:hint="eastAsia" w:ascii="宋体" w:hAnsi="宋体" w:eastAsia="宋体"/>
          <w:sz w:val="32"/>
          <w:szCs w:val="32"/>
          <w:highlight w:val="none"/>
        </w:rPr>
        <w:t>本次随部门决算作为附件公开</w:t>
      </w:r>
      <w:r>
        <w:rPr>
          <w:rFonts w:hint="eastAsia" w:ascii="宋体" w:hAnsi="宋体" w:eastAsia="宋体"/>
          <w:sz w:val="32"/>
          <w:szCs w:val="32"/>
          <w:highlight w:val="none"/>
          <w:lang w:eastAsia="zh-CN"/>
        </w:rPr>
        <w:t>。</w:t>
      </w:r>
    </w:p>
    <w:p w14:paraId="32474651">
      <w:pPr>
        <w:pStyle w:val="9"/>
        <w:jc w:val="center"/>
        <w:rPr>
          <w:sz w:val="72"/>
          <w:szCs w:val="72"/>
        </w:rPr>
      </w:pPr>
    </w:p>
    <w:p w14:paraId="78BB921F">
      <w:pPr>
        <w:pStyle w:val="9"/>
        <w:jc w:val="center"/>
        <w:rPr>
          <w:sz w:val="72"/>
          <w:szCs w:val="72"/>
        </w:rPr>
      </w:pPr>
    </w:p>
    <w:p w14:paraId="4150BBB6">
      <w:pPr>
        <w:pStyle w:val="9"/>
        <w:rPr>
          <w:sz w:val="72"/>
          <w:szCs w:val="72"/>
        </w:rPr>
      </w:pPr>
    </w:p>
    <w:p w14:paraId="74F5F7BA">
      <w:pPr>
        <w:pStyle w:val="9"/>
        <w:rPr>
          <w:sz w:val="72"/>
          <w:szCs w:val="72"/>
        </w:rPr>
      </w:pPr>
    </w:p>
    <w:p w14:paraId="5FD4D287">
      <w:pPr>
        <w:pStyle w:val="9"/>
        <w:jc w:val="center"/>
        <w:rPr>
          <w:sz w:val="72"/>
          <w:szCs w:val="72"/>
        </w:rPr>
      </w:pPr>
    </w:p>
    <w:p w14:paraId="782C6AB5">
      <w:pPr>
        <w:pStyle w:val="9"/>
        <w:jc w:val="center"/>
        <w:rPr>
          <w:sz w:val="72"/>
          <w:szCs w:val="72"/>
        </w:rPr>
      </w:pPr>
    </w:p>
    <w:p w14:paraId="6D181C04">
      <w:pPr>
        <w:pStyle w:val="9"/>
        <w:jc w:val="center"/>
        <w:rPr>
          <w:sz w:val="72"/>
          <w:szCs w:val="72"/>
        </w:rPr>
      </w:pPr>
    </w:p>
    <w:p w14:paraId="42AFA4D8">
      <w:pPr>
        <w:pStyle w:val="9"/>
        <w:jc w:val="center"/>
        <w:rPr>
          <w:sz w:val="72"/>
          <w:szCs w:val="72"/>
        </w:rPr>
      </w:pPr>
    </w:p>
    <w:p w14:paraId="7C3F7CBF">
      <w:pPr>
        <w:pStyle w:val="9"/>
        <w:jc w:val="center"/>
        <w:rPr>
          <w:sz w:val="72"/>
          <w:szCs w:val="72"/>
        </w:rPr>
      </w:pPr>
    </w:p>
    <w:p w14:paraId="19DD2B72">
      <w:pPr>
        <w:pStyle w:val="9"/>
        <w:jc w:val="center"/>
        <w:rPr>
          <w:rFonts w:hint="eastAsia"/>
          <w:sz w:val="72"/>
          <w:szCs w:val="72"/>
        </w:rPr>
      </w:pPr>
    </w:p>
    <w:p w14:paraId="0B3C4298">
      <w:pPr>
        <w:pStyle w:val="9"/>
        <w:jc w:val="center"/>
        <w:rPr>
          <w:sz w:val="72"/>
          <w:szCs w:val="72"/>
        </w:rPr>
      </w:pPr>
      <w:r>
        <w:rPr>
          <w:rFonts w:hint="eastAsia"/>
          <w:sz w:val="72"/>
          <w:szCs w:val="72"/>
        </w:rPr>
        <w:t>第四部分</w:t>
      </w:r>
    </w:p>
    <w:p w14:paraId="1D300FCD">
      <w:pPr>
        <w:jc w:val="center"/>
        <w:rPr>
          <w:rFonts w:ascii="黑体" w:eastAsia="黑体" w:cs="黑体"/>
          <w:color w:val="000000"/>
          <w:kern w:val="0"/>
          <w:sz w:val="70"/>
          <w:szCs w:val="70"/>
        </w:rPr>
      </w:pPr>
    </w:p>
    <w:p w14:paraId="7519E03D">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14:paraId="6BA87D88">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643E4D10">
      <w:pPr>
        <w:widowControl/>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一、基本支出：指为保障机构正常运转、完成日常工作任务而发生的各项支出，包括人员支出和公用支出。</w:t>
      </w:r>
    </w:p>
    <w:p w14:paraId="233285C2">
      <w:pPr>
        <w:widowControl/>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二、项目支出：指在基本支出以外为完成相关行政任务和事业发展目标所发生的各项支出。</w:t>
      </w:r>
    </w:p>
    <w:p w14:paraId="42B682CF">
      <w:pPr>
        <w:widowControl/>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三、“三公”经费：指通过财政拨款资金安排的因公出国（境）费、公务用车购置及运行费和公务接待费支出。</w:t>
      </w:r>
    </w:p>
    <w:p w14:paraId="4F36EE06">
      <w:pPr>
        <w:widowControl/>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四、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722D3BBE">
      <w:pPr>
        <w:widowControl/>
        <w:ind w:firstLine="640" w:firstLineChars="200"/>
        <w:jc w:val="left"/>
        <w:rPr>
          <w:rFonts w:hint="eastAsia" w:asciiTheme="minorEastAsia" w:hAnsiTheme="minorEastAsia"/>
          <w:sz w:val="32"/>
          <w:szCs w:val="32"/>
          <w:lang w:eastAsia="zh-CN"/>
        </w:rPr>
      </w:pPr>
      <w:r>
        <w:rPr>
          <w:rFonts w:hint="eastAsia" w:cs="黑体" w:asciiTheme="minorEastAsia" w:hAnsiTheme="minorEastAsia"/>
          <w:color w:val="000000"/>
          <w:kern w:val="0"/>
          <w:sz w:val="32"/>
          <w:szCs w:val="32"/>
          <w:lang w:eastAsia="zh-CN"/>
        </w:rPr>
        <w:t>五、</w:t>
      </w:r>
      <w:r>
        <w:rPr>
          <w:rFonts w:hint="eastAsia" w:asciiTheme="minorEastAsia" w:hAnsiTheme="minorEastAsia" w:eastAsiaTheme="minorEastAsia"/>
          <w:sz w:val="32"/>
          <w:szCs w:val="32"/>
        </w:rPr>
        <w:t>自然资源调查与确权登记</w:t>
      </w:r>
      <w:r>
        <w:rPr>
          <w:rFonts w:hint="eastAsia" w:asciiTheme="minorEastAsia" w:hAnsiTheme="minorEastAsia"/>
          <w:sz w:val="32"/>
          <w:szCs w:val="32"/>
          <w:lang w:eastAsia="zh-CN"/>
        </w:rPr>
        <w:t>：反映自然资源部门用于自然资源调查监测评价，自然资源统一确权登记等方面的支出。</w:t>
      </w:r>
    </w:p>
    <w:p w14:paraId="2F39940D">
      <w:pPr>
        <w:widowControl/>
        <w:ind w:firstLine="640" w:firstLineChars="200"/>
        <w:jc w:val="left"/>
        <w:rPr>
          <w:rFonts w:hint="eastAsia" w:asciiTheme="minorEastAsia" w:hAnsiTheme="minorEastAsia"/>
          <w:sz w:val="32"/>
          <w:szCs w:val="32"/>
          <w:lang w:eastAsia="zh-CN"/>
        </w:rPr>
      </w:pPr>
      <w:r>
        <w:rPr>
          <w:rFonts w:hint="eastAsia" w:asciiTheme="minorEastAsia" w:hAnsiTheme="minorEastAsia"/>
          <w:sz w:val="32"/>
          <w:szCs w:val="32"/>
          <w:lang w:eastAsia="zh-CN"/>
        </w:rPr>
        <w:t>六、</w:t>
      </w:r>
      <w:r>
        <w:rPr>
          <w:rFonts w:hint="eastAsia" w:asciiTheme="minorEastAsia" w:hAnsiTheme="minorEastAsia" w:eastAsiaTheme="minorEastAsia"/>
          <w:sz w:val="32"/>
          <w:szCs w:val="32"/>
        </w:rPr>
        <w:t>地质矿产资源与环境调查</w:t>
      </w:r>
      <w:r>
        <w:rPr>
          <w:rFonts w:hint="eastAsia" w:asciiTheme="minorEastAsia" w:hAnsiTheme="minorEastAsia"/>
          <w:sz w:val="32"/>
          <w:szCs w:val="32"/>
          <w:lang w:eastAsia="zh-CN"/>
        </w:rPr>
        <w:t>：反映用于中国地质调查局开展陆域海域公益性基础地质查调查、重要能源资源矿产调查；服务国民经济和生态文明建设，开展重要经济区和城市群综合地质调查、地质灾害隐患和水文地质环境调查；服务“一带一路”、军民融合等国家重大战略，开展相关地质调查工作；以及加强地质资源环境信息化建设，提高地质调查能力和科技水平等相关支出。</w:t>
      </w:r>
    </w:p>
    <w:p w14:paraId="15C58E99">
      <w:pPr>
        <w:widowControl/>
        <w:ind w:firstLine="640" w:firstLineChars="200"/>
        <w:jc w:val="left"/>
        <w:rPr>
          <w:rFonts w:hint="eastAsia" w:asciiTheme="minorEastAsia" w:hAnsiTheme="minorEastAsia"/>
          <w:sz w:val="32"/>
          <w:szCs w:val="32"/>
          <w:lang w:eastAsia="zh-CN"/>
        </w:rPr>
      </w:pPr>
    </w:p>
    <w:p w14:paraId="39FE2A78">
      <w:pPr>
        <w:widowControl/>
        <w:ind w:firstLine="640" w:firstLineChars="200"/>
        <w:jc w:val="left"/>
        <w:rPr>
          <w:rFonts w:hint="eastAsia" w:asciiTheme="minorEastAsia" w:hAnsiTheme="minorEastAsia"/>
          <w:sz w:val="32"/>
          <w:szCs w:val="32"/>
          <w:lang w:eastAsia="zh-CN"/>
        </w:rPr>
      </w:pPr>
    </w:p>
    <w:p w14:paraId="32FEB058">
      <w:pPr>
        <w:pStyle w:val="9"/>
        <w:jc w:val="center"/>
        <w:rPr>
          <w:sz w:val="72"/>
          <w:szCs w:val="72"/>
        </w:rPr>
      </w:pPr>
    </w:p>
    <w:p w14:paraId="0F7DDAE8">
      <w:pPr>
        <w:pStyle w:val="9"/>
        <w:jc w:val="center"/>
        <w:rPr>
          <w:sz w:val="72"/>
          <w:szCs w:val="72"/>
        </w:rPr>
      </w:pPr>
    </w:p>
    <w:p w14:paraId="349052BC">
      <w:pPr>
        <w:pStyle w:val="9"/>
        <w:jc w:val="center"/>
        <w:rPr>
          <w:sz w:val="72"/>
          <w:szCs w:val="72"/>
        </w:rPr>
      </w:pPr>
    </w:p>
    <w:p w14:paraId="50B2CDC4">
      <w:pPr>
        <w:pStyle w:val="9"/>
        <w:jc w:val="center"/>
        <w:rPr>
          <w:sz w:val="72"/>
          <w:szCs w:val="72"/>
        </w:rPr>
      </w:pPr>
    </w:p>
    <w:p w14:paraId="2B8C9C90">
      <w:pPr>
        <w:pStyle w:val="9"/>
        <w:jc w:val="center"/>
        <w:rPr>
          <w:sz w:val="72"/>
          <w:szCs w:val="72"/>
        </w:rPr>
      </w:pPr>
    </w:p>
    <w:p w14:paraId="5A063CA1">
      <w:pPr>
        <w:pStyle w:val="9"/>
        <w:jc w:val="center"/>
        <w:rPr>
          <w:sz w:val="72"/>
          <w:szCs w:val="72"/>
        </w:rPr>
      </w:pPr>
    </w:p>
    <w:p w14:paraId="3AD0CB99">
      <w:pPr>
        <w:pStyle w:val="9"/>
        <w:jc w:val="center"/>
        <w:rPr>
          <w:sz w:val="72"/>
          <w:szCs w:val="72"/>
        </w:rPr>
      </w:pPr>
    </w:p>
    <w:p w14:paraId="5BD3D782">
      <w:pPr>
        <w:pStyle w:val="9"/>
        <w:jc w:val="center"/>
        <w:rPr>
          <w:sz w:val="72"/>
          <w:szCs w:val="72"/>
        </w:rPr>
      </w:pPr>
    </w:p>
    <w:p w14:paraId="1725257E">
      <w:pPr>
        <w:pStyle w:val="9"/>
        <w:jc w:val="center"/>
        <w:rPr>
          <w:sz w:val="72"/>
          <w:szCs w:val="72"/>
        </w:rPr>
      </w:pPr>
    </w:p>
    <w:p w14:paraId="7D689825">
      <w:pPr>
        <w:pStyle w:val="9"/>
        <w:jc w:val="center"/>
        <w:rPr>
          <w:sz w:val="72"/>
          <w:szCs w:val="72"/>
        </w:rPr>
      </w:pPr>
      <w:r>
        <w:rPr>
          <w:rFonts w:hint="eastAsia"/>
          <w:sz w:val="72"/>
          <w:szCs w:val="72"/>
        </w:rPr>
        <w:t>第五部分</w:t>
      </w:r>
    </w:p>
    <w:p w14:paraId="2D0CFA7B">
      <w:pPr>
        <w:jc w:val="center"/>
        <w:rPr>
          <w:rFonts w:ascii="黑体" w:eastAsia="黑体" w:cs="黑体"/>
          <w:color w:val="000000"/>
          <w:kern w:val="0"/>
          <w:sz w:val="70"/>
          <w:szCs w:val="70"/>
        </w:rPr>
      </w:pPr>
    </w:p>
    <w:p w14:paraId="7A0F9DA3">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14:paraId="490F9EDF">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52DFD6FB">
      <w:pPr>
        <w:ind w:firstLine="640" w:firstLineChars="200"/>
        <w:jc w:val="center"/>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2021年度部门整体支出绩效评价报告</w:t>
      </w:r>
    </w:p>
    <w:p w14:paraId="05E8A6B5">
      <w:pPr>
        <w:spacing w:line="560" w:lineRule="exact"/>
        <w:ind w:firstLine="640" w:firstLineChars="200"/>
        <w:rPr>
          <w:rFonts w:eastAsia="黑体"/>
          <w:sz w:val="32"/>
          <w:szCs w:val="32"/>
        </w:rPr>
      </w:pPr>
      <w:r>
        <w:rPr>
          <w:rFonts w:eastAsia="黑体"/>
          <w:sz w:val="32"/>
          <w:szCs w:val="32"/>
        </w:rPr>
        <w:t>一、单位基本情况</w:t>
      </w:r>
    </w:p>
    <w:p w14:paraId="258FCA8D">
      <w:pPr>
        <w:spacing w:line="560" w:lineRule="exact"/>
        <w:ind w:firstLine="640" w:firstLineChars="200"/>
        <w:rPr>
          <w:rFonts w:eastAsia="仿宋"/>
          <w:sz w:val="32"/>
          <w:szCs w:val="32"/>
        </w:rPr>
      </w:pPr>
      <w:r>
        <w:rPr>
          <w:rFonts w:eastAsia="仿宋"/>
          <w:sz w:val="32"/>
          <w:szCs w:val="32"/>
        </w:rPr>
        <w:t>我队是经湖南省事业单位登记管理局批准成立的事业单位，隶属于湖南省地质院，始建于1952年。宗旨和业务范围是：为国家建设提供专业地质调查服务；公益性、基础性地质工作；专业地质技术研究开发与地矿资源监测；矿产、水文、工程、环境地质调查与勘查施工；地质测绘与工程测量；地球物理、地球化学勘查地质灾害防治工程设计、勘查、评价与监理；各类地基与基础、房屋建筑、隧道、公路、桥梁及土石方工程；岩石、矿物、土壤及水质的分析化验、鉴定与测试；矿产品加工；相关社会服务。</w:t>
      </w:r>
    </w:p>
    <w:p w14:paraId="3C12EFAF">
      <w:pPr>
        <w:spacing w:line="560" w:lineRule="exact"/>
        <w:ind w:firstLine="640" w:firstLineChars="200"/>
        <w:rPr>
          <w:rFonts w:eastAsia="仿宋"/>
          <w:sz w:val="32"/>
          <w:szCs w:val="32"/>
        </w:rPr>
      </w:pPr>
      <w:r>
        <w:rPr>
          <w:rFonts w:eastAsia="仿宋"/>
          <w:sz w:val="32"/>
          <w:szCs w:val="32"/>
        </w:rPr>
        <w:t>我队下设部门23个，其中生产部门7个，管理部门16个。</w:t>
      </w:r>
    </w:p>
    <w:p w14:paraId="6587618E">
      <w:pPr>
        <w:spacing w:line="560" w:lineRule="exact"/>
        <w:ind w:firstLine="640" w:firstLineChars="200"/>
        <w:rPr>
          <w:rFonts w:eastAsia="仿宋"/>
          <w:sz w:val="32"/>
          <w:szCs w:val="32"/>
        </w:rPr>
      </w:pPr>
      <w:r>
        <w:rPr>
          <w:rFonts w:eastAsia="仿宋"/>
          <w:sz w:val="32"/>
          <w:szCs w:val="32"/>
        </w:rPr>
        <w:t>截止2021年12月31日我队在职职工688人，退休911人。</w:t>
      </w:r>
    </w:p>
    <w:p w14:paraId="29DC5D09">
      <w:pPr>
        <w:spacing w:line="560" w:lineRule="exact"/>
        <w:ind w:firstLine="640" w:firstLineChars="200"/>
        <w:rPr>
          <w:rFonts w:eastAsia="黑体"/>
          <w:sz w:val="32"/>
          <w:szCs w:val="32"/>
        </w:rPr>
      </w:pPr>
      <w:r>
        <w:rPr>
          <w:rFonts w:eastAsia="黑体"/>
          <w:sz w:val="32"/>
          <w:szCs w:val="32"/>
        </w:rPr>
        <w:t>二、一般公共预算支出情况</w:t>
      </w:r>
    </w:p>
    <w:p w14:paraId="1B404B96">
      <w:pPr>
        <w:spacing w:line="560" w:lineRule="exact"/>
        <w:ind w:firstLine="640" w:firstLineChars="200"/>
        <w:rPr>
          <w:rFonts w:eastAsia="黑体"/>
          <w:sz w:val="32"/>
          <w:szCs w:val="32"/>
        </w:rPr>
      </w:pPr>
      <w:r>
        <w:rPr>
          <w:rFonts w:eastAsia="楷体"/>
          <w:sz w:val="32"/>
          <w:szCs w:val="32"/>
        </w:rPr>
        <w:t>（一）基本支出情况</w:t>
      </w:r>
    </w:p>
    <w:p w14:paraId="5167860D">
      <w:pPr>
        <w:spacing w:line="560" w:lineRule="exact"/>
        <w:ind w:firstLine="640" w:firstLineChars="200"/>
        <w:rPr>
          <w:rFonts w:eastAsia="仿宋"/>
          <w:sz w:val="32"/>
          <w:szCs w:val="32"/>
        </w:rPr>
      </w:pPr>
      <w:r>
        <w:rPr>
          <w:rFonts w:eastAsia="仿宋"/>
          <w:sz w:val="32"/>
          <w:szCs w:val="32"/>
        </w:rPr>
        <w:t>2021年我队基本支出7745.44万元，其中人员经费7645.44万元，占比达98.71 %，包括工资福利支出7381.48万元，对个人和家庭补助263.96万元；日常公用经费100万元，全部为工会经费。</w:t>
      </w:r>
    </w:p>
    <w:p w14:paraId="7158465E">
      <w:pPr>
        <w:spacing w:line="560" w:lineRule="exact"/>
        <w:ind w:firstLine="640" w:firstLineChars="200"/>
        <w:rPr>
          <w:rFonts w:eastAsia="黑体"/>
          <w:sz w:val="32"/>
          <w:szCs w:val="32"/>
        </w:rPr>
      </w:pPr>
      <w:r>
        <w:rPr>
          <w:rFonts w:eastAsia="楷体"/>
          <w:sz w:val="32"/>
          <w:szCs w:val="32"/>
        </w:rPr>
        <w:t>（二）项目支出情况</w:t>
      </w:r>
    </w:p>
    <w:p w14:paraId="57CA5707">
      <w:pPr>
        <w:spacing w:line="560" w:lineRule="exact"/>
        <w:ind w:firstLine="640" w:firstLineChars="200"/>
        <w:rPr>
          <w:rFonts w:eastAsia="仿宋"/>
          <w:sz w:val="32"/>
          <w:szCs w:val="32"/>
        </w:rPr>
      </w:pPr>
      <w:r>
        <w:rPr>
          <w:rFonts w:eastAsia="仿宋"/>
          <w:sz w:val="32"/>
          <w:szCs w:val="32"/>
        </w:rPr>
        <w:t>我队不是省级专项资金设立主体，单位无省级专项资金。2021年我队其他项目支出共计1632.72万元，其中资本性支出项目</w:t>
      </w:r>
      <w:r>
        <w:rPr>
          <w:rFonts w:hint="eastAsia" w:eastAsia="仿宋"/>
          <w:sz w:val="32"/>
          <w:szCs w:val="32"/>
        </w:rPr>
        <w:t>5</w:t>
      </w:r>
      <w:r>
        <w:rPr>
          <w:rFonts w:eastAsia="仿宋"/>
          <w:sz w:val="32"/>
          <w:szCs w:val="32"/>
        </w:rPr>
        <w:t>0万元（全部</w:t>
      </w:r>
      <w:r>
        <w:rPr>
          <w:rFonts w:hint="eastAsia" w:eastAsia="仿宋"/>
          <w:sz w:val="32"/>
          <w:szCs w:val="32"/>
        </w:rPr>
        <w:t>用于地灾中心应急救援云平台建设</w:t>
      </w:r>
      <w:r>
        <w:rPr>
          <w:rFonts w:eastAsia="仿宋"/>
          <w:sz w:val="32"/>
          <w:szCs w:val="32"/>
        </w:rPr>
        <w:t>）；商品和服务支出类项目支出</w:t>
      </w:r>
      <w:r>
        <w:rPr>
          <w:rFonts w:hint="eastAsia" w:eastAsia="仿宋"/>
          <w:sz w:val="32"/>
          <w:szCs w:val="32"/>
        </w:rPr>
        <w:t>1</w:t>
      </w:r>
      <w:r>
        <w:rPr>
          <w:rFonts w:eastAsia="仿宋"/>
          <w:sz w:val="32"/>
          <w:szCs w:val="32"/>
        </w:rPr>
        <w:t>582.72万元，主要为我队承接的各类地质、环保、科研项目发生的支出，以及湖南省地质灾害应急救援中心日常运维支出。</w:t>
      </w:r>
    </w:p>
    <w:p w14:paraId="4932614F">
      <w:pPr>
        <w:spacing w:line="560" w:lineRule="exact"/>
        <w:ind w:firstLine="640" w:firstLineChars="200"/>
        <w:rPr>
          <w:rFonts w:eastAsia="黑体"/>
          <w:sz w:val="32"/>
          <w:szCs w:val="32"/>
        </w:rPr>
      </w:pPr>
      <w:r>
        <w:rPr>
          <w:rFonts w:eastAsia="黑体"/>
          <w:sz w:val="32"/>
          <w:szCs w:val="32"/>
        </w:rPr>
        <w:t>三、政府性基金预算支出情况</w:t>
      </w:r>
    </w:p>
    <w:p w14:paraId="4B9FB5BC">
      <w:pPr>
        <w:spacing w:line="560" w:lineRule="exact"/>
        <w:ind w:firstLine="640" w:firstLineChars="200"/>
        <w:rPr>
          <w:rFonts w:eastAsia="仿宋"/>
          <w:sz w:val="32"/>
          <w:szCs w:val="32"/>
        </w:rPr>
      </w:pPr>
      <w:r>
        <w:rPr>
          <w:rFonts w:eastAsia="仿宋"/>
          <w:sz w:val="32"/>
          <w:szCs w:val="32"/>
        </w:rPr>
        <w:t>本单位无政府性基金预算支出。</w:t>
      </w:r>
    </w:p>
    <w:p w14:paraId="581853E4">
      <w:pPr>
        <w:spacing w:line="560" w:lineRule="exact"/>
        <w:ind w:firstLine="640" w:firstLineChars="200"/>
        <w:rPr>
          <w:rFonts w:eastAsia="黑体"/>
          <w:sz w:val="32"/>
          <w:szCs w:val="32"/>
        </w:rPr>
      </w:pPr>
      <w:r>
        <w:rPr>
          <w:rFonts w:eastAsia="黑体"/>
          <w:sz w:val="32"/>
          <w:szCs w:val="32"/>
        </w:rPr>
        <w:t>四、国有资本经营预算支出情况</w:t>
      </w:r>
    </w:p>
    <w:p w14:paraId="36BC37AA">
      <w:pPr>
        <w:spacing w:line="560" w:lineRule="exact"/>
        <w:ind w:firstLine="640" w:firstLineChars="200"/>
        <w:rPr>
          <w:rFonts w:eastAsia="仿宋"/>
          <w:sz w:val="32"/>
          <w:szCs w:val="32"/>
        </w:rPr>
      </w:pPr>
      <w:r>
        <w:rPr>
          <w:rFonts w:eastAsia="仿宋"/>
          <w:sz w:val="32"/>
          <w:szCs w:val="32"/>
        </w:rPr>
        <w:t>本单位无国有资本经营预算支出。</w:t>
      </w:r>
    </w:p>
    <w:p w14:paraId="399314D1">
      <w:pPr>
        <w:spacing w:line="560" w:lineRule="exact"/>
        <w:ind w:firstLine="640" w:firstLineChars="200"/>
        <w:rPr>
          <w:rFonts w:eastAsia="黑体"/>
          <w:sz w:val="32"/>
          <w:szCs w:val="32"/>
        </w:rPr>
      </w:pPr>
      <w:r>
        <w:rPr>
          <w:rFonts w:eastAsia="黑体"/>
          <w:sz w:val="32"/>
          <w:szCs w:val="32"/>
        </w:rPr>
        <w:t>五、社会保险基金预算支出情况</w:t>
      </w:r>
    </w:p>
    <w:p w14:paraId="526882CC">
      <w:pPr>
        <w:spacing w:line="560" w:lineRule="exact"/>
        <w:ind w:firstLine="640" w:firstLineChars="200"/>
        <w:rPr>
          <w:rFonts w:eastAsia="仿宋"/>
          <w:sz w:val="32"/>
          <w:szCs w:val="32"/>
        </w:rPr>
      </w:pPr>
      <w:r>
        <w:rPr>
          <w:rFonts w:eastAsia="仿宋"/>
          <w:sz w:val="32"/>
          <w:szCs w:val="32"/>
        </w:rPr>
        <w:t>本单位无社会保险基金预算支出。</w:t>
      </w:r>
    </w:p>
    <w:p w14:paraId="29664284">
      <w:pPr>
        <w:spacing w:line="560" w:lineRule="exact"/>
        <w:ind w:firstLine="640" w:firstLineChars="200"/>
        <w:rPr>
          <w:rFonts w:eastAsia="仿宋"/>
          <w:sz w:val="32"/>
          <w:szCs w:val="32"/>
        </w:rPr>
      </w:pPr>
      <w:r>
        <w:rPr>
          <w:rFonts w:eastAsia="黑体"/>
          <w:sz w:val="32"/>
          <w:szCs w:val="32"/>
        </w:rPr>
        <w:t>六、单位整体支出绩效情况</w:t>
      </w:r>
    </w:p>
    <w:p w14:paraId="434F3C93">
      <w:pPr>
        <w:spacing w:line="560" w:lineRule="exact"/>
        <w:ind w:firstLine="640" w:firstLineChars="200"/>
        <w:rPr>
          <w:rFonts w:eastAsia="仿宋"/>
          <w:sz w:val="32"/>
          <w:szCs w:val="32"/>
        </w:rPr>
      </w:pPr>
      <w:r>
        <w:rPr>
          <w:rFonts w:eastAsia="楷体"/>
          <w:sz w:val="32"/>
          <w:szCs w:val="32"/>
        </w:rPr>
        <w:t>（一）部门整体收支情况</w:t>
      </w:r>
    </w:p>
    <w:p w14:paraId="6D9E1044">
      <w:pPr>
        <w:spacing w:line="560" w:lineRule="exact"/>
        <w:ind w:firstLine="640" w:firstLineChars="200"/>
        <w:rPr>
          <w:rFonts w:eastAsia="仿宋"/>
          <w:sz w:val="32"/>
          <w:szCs w:val="32"/>
        </w:rPr>
      </w:pPr>
      <w:r>
        <w:rPr>
          <w:rFonts w:eastAsia="仿宋"/>
          <w:sz w:val="32"/>
          <w:szCs w:val="32"/>
        </w:rPr>
        <w:t>2021年我队年初结余结转169万元，其中：</w:t>
      </w:r>
      <w:r>
        <w:rPr>
          <w:rFonts w:hint="eastAsia" w:eastAsia="仿宋"/>
          <w:sz w:val="32"/>
          <w:szCs w:val="32"/>
        </w:rPr>
        <w:t>灾害防治及应急管理支出1</w:t>
      </w:r>
      <w:r>
        <w:rPr>
          <w:rFonts w:eastAsia="仿宋"/>
          <w:sz w:val="32"/>
          <w:szCs w:val="32"/>
        </w:rPr>
        <w:t>69</w:t>
      </w:r>
      <w:r>
        <w:rPr>
          <w:rFonts w:hint="eastAsia" w:eastAsia="仿宋"/>
          <w:sz w:val="32"/>
          <w:szCs w:val="32"/>
        </w:rPr>
        <w:t>万元</w:t>
      </w:r>
      <w:r>
        <w:rPr>
          <w:rFonts w:eastAsia="仿宋"/>
          <w:sz w:val="32"/>
          <w:szCs w:val="32"/>
        </w:rPr>
        <w:t>。总收入14129.76万元，其中一般公共预算财政拨款9404.16万元，经营收入4725.6万元</w:t>
      </w:r>
      <w:r>
        <w:rPr>
          <w:rFonts w:hint="eastAsia" w:eastAsia="仿宋"/>
          <w:sz w:val="32"/>
          <w:szCs w:val="32"/>
        </w:rPr>
        <w:t>；</w:t>
      </w:r>
      <w:r>
        <w:rPr>
          <w:rFonts w:eastAsia="仿宋"/>
          <w:sz w:val="32"/>
          <w:szCs w:val="32"/>
        </w:rPr>
        <w:t>本年支出合计14103.76万元，其中基本支出7745.44万元，项目支出1632.72万元，经营支出4484.36万元；本年结余分配241.24万元，年末结转26万元，全口径预算执行率达99 %。</w:t>
      </w:r>
    </w:p>
    <w:p w14:paraId="026D6EE8">
      <w:pPr>
        <w:spacing w:line="560" w:lineRule="exact"/>
        <w:ind w:firstLine="640" w:firstLineChars="200"/>
        <w:rPr>
          <w:rFonts w:eastAsia="仿宋"/>
          <w:sz w:val="32"/>
          <w:szCs w:val="32"/>
        </w:rPr>
      </w:pPr>
      <w:r>
        <w:rPr>
          <w:rFonts w:eastAsia="仿宋"/>
          <w:sz w:val="32"/>
          <w:szCs w:val="32"/>
        </w:rPr>
        <w:t>本年财政追加预算指标1490.92万元，追加预算中有地勘发展专项、地质项目、应急管理等。2021年无新建楼堂馆所项目发生。</w:t>
      </w:r>
    </w:p>
    <w:p w14:paraId="29646494">
      <w:pPr>
        <w:spacing w:line="560" w:lineRule="exact"/>
        <w:ind w:firstLine="640" w:firstLineChars="200"/>
        <w:rPr>
          <w:rFonts w:eastAsia="楷体"/>
          <w:b/>
          <w:bCs/>
          <w:color w:val="333333"/>
          <w:kern w:val="0"/>
          <w:sz w:val="32"/>
          <w:szCs w:val="32"/>
        </w:rPr>
      </w:pPr>
      <w:r>
        <w:rPr>
          <w:rFonts w:eastAsia="楷体"/>
          <w:color w:val="333333"/>
          <w:kern w:val="0"/>
          <w:sz w:val="32"/>
          <w:szCs w:val="32"/>
        </w:rPr>
        <w:t>（二）年末结转和结余情况</w:t>
      </w:r>
    </w:p>
    <w:p w14:paraId="62703DB0">
      <w:pPr>
        <w:spacing w:line="560" w:lineRule="exact"/>
        <w:ind w:firstLine="640" w:firstLineChars="200"/>
        <w:rPr>
          <w:rFonts w:eastAsia="仿宋"/>
          <w:sz w:val="32"/>
          <w:szCs w:val="32"/>
        </w:rPr>
      </w:pPr>
      <w:r>
        <w:rPr>
          <w:rFonts w:eastAsia="仿宋"/>
          <w:sz w:val="32"/>
          <w:szCs w:val="32"/>
        </w:rPr>
        <w:t>年末财政拨款结转和结余共计26万元，为</w:t>
      </w:r>
      <w:r>
        <w:rPr>
          <w:rFonts w:hint="eastAsia" w:eastAsia="仿宋"/>
          <w:sz w:val="32"/>
          <w:szCs w:val="32"/>
        </w:rPr>
        <w:t>其他自然生态保护支出</w:t>
      </w:r>
      <w:r>
        <w:rPr>
          <w:rFonts w:eastAsia="仿宋"/>
          <w:sz w:val="32"/>
          <w:szCs w:val="32"/>
        </w:rPr>
        <w:t>结转，主要为下达的</w:t>
      </w:r>
      <w:r>
        <w:rPr>
          <w:rFonts w:hint="eastAsia" w:eastAsia="仿宋"/>
          <w:sz w:val="32"/>
          <w:szCs w:val="32"/>
        </w:rPr>
        <w:t>市县资环补助资金</w:t>
      </w:r>
      <w:r>
        <w:rPr>
          <w:rFonts w:eastAsia="仿宋"/>
          <w:sz w:val="32"/>
          <w:szCs w:val="32"/>
        </w:rPr>
        <w:t>，用于</w:t>
      </w:r>
      <w:r>
        <w:rPr>
          <w:rFonts w:hint="eastAsia" w:eastAsia="仿宋"/>
          <w:sz w:val="32"/>
          <w:szCs w:val="32"/>
        </w:rPr>
        <w:t>山水林田湖草前期调研费用</w:t>
      </w:r>
      <w:r>
        <w:rPr>
          <w:rFonts w:eastAsia="仿宋"/>
          <w:sz w:val="32"/>
          <w:szCs w:val="32"/>
        </w:rPr>
        <w:t>方面，下达时间</w:t>
      </w:r>
      <w:r>
        <w:rPr>
          <w:rFonts w:hint="eastAsia" w:eastAsia="仿宋"/>
          <w:sz w:val="32"/>
          <w:szCs w:val="32"/>
        </w:rPr>
        <w:t>为2</w:t>
      </w:r>
      <w:r>
        <w:rPr>
          <w:rFonts w:eastAsia="仿宋"/>
          <w:sz w:val="32"/>
          <w:szCs w:val="32"/>
        </w:rPr>
        <w:t>021</w:t>
      </w:r>
      <w:r>
        <w:rPr>
          <w:rFonts w:hint="eastAsia" w:eastAsia="仿宋"/>
          <w:sz w:val="32"/>
          <w:szCs w:val="32"/>
        </w:rPr>
        <w:t>年1</w:t>
      </w:r>
      <w:r>
        <w:rPr>
          <w:rFonts w:eastAsia="仿宋"/>
          <w:sz w:val="32"/>
          <w:szCs w:val="32"/>
        </w:rPr>
        <w:t>2</w:t>
      </w:r>
      <w:r>
        <w:rPr>
          <w:rFonts w:hint="eastAsia" w:eastAsia="仿宋"/>
          <w:sz w:val="32"/>
          <w:szCs w:val="32"/>
        </w:rPr>
        <w:t>月2</w:t>
      </w:r>
      <w:r>
        <w:rPr>
          <w:rFonts w:eastAsia="仿宋"/>
          <w:sz w:val="32"/>
          <w:szCs w:val="32"/>
        </w:rPr>
        <w:t>9</w:t>
      </w:r>
      <w:r>
        <w:rPr>
          <w:rFonts w:hint="eastAsia" w:eastAsia="仿宋"/>
          <w:sz w:val="32"/>
          <w:szCs w:val="32"/>
        </w:rPr>
        <w:t>日，因下达时间</w:t>
      </w:r>
      <w:r>
        <w:rPr>
          <w:rFonts w:eastAsia="仿宋"/>
          <w:sz w:val="32"/>
          <w:szCs w:val="32"/>
        </w:rPr>
        <w:t>较晚，未能按期支付。</w:t>
      </w:r>
    </w:p>
    <w:p w14:paraId="0B4C54CF">
      <w:pPr>
        <w:spacing w:line="560" w:lineRule="exact"/>
        <w:ind w:firstLine="640" w:firstLineChars="200"/>
        <w:rPr>
          <w:rFonts w:eastAsia="楷体"/>
          <w:color w:val="333333"/>
          <w:kern w:val="0"/>
          <w:sz w:val="32"/>
          <w:szCs w:val="32"/>
        </w:rPr>
      </w:pPr>
      <w:r>
        <w:rPr>
          <w:rFonts w:eastAsia="楷体"/>
          <w:color w:val="333333"/>
          <w:kern w:val="0"/>
          <w:sz w:val="32"/>
          <w:szCs w:val="32"/>
        </w:rPr>
        <w:t>（三）产出和效益情况</w:t>
      </w:r>
    </w:p>
    <w:p w14:paraId="2CCBA5E5">
      <w:pPr>
        <w:spacing w:line="560" w:lineRule="exact"/>
        <w:ind w:firstLine="640" w:firstLineChars="200"/>
        <w:rPr>
          <w:rFonts w:eastAsia="仿宋"/>
          <w:sz w:val="32"/>
          <w:szCs w:val="32"/>
        </w:rPr>
      </w:pPr>
      <w:r>
        <w:rPr>
          <w:rFonts w:eastAsia="仿宋"/>
          <w:sz w:val="32"/>
          <w:szCs w:val="32"/>
        </w:rPr>
        <w:t>1</w:t>
      </w:r>
      <w:r>
        <w:rPr>
          <w:rFonts w:hint="eastAsia" w:eastAsia="仿宋"/>
          <w:sz w:val="32"/>
          <w:szCs w:val="32"/>
        </w:rPr>
        <w:t>、党建工作</w:t>
      </w:r>
    </w:p>
    <w:p w14:paraId="0CA23176">
      <w:pPr>
        <w:spacing w:line="560" w:lineRule="exact"/>
        <w:ind w:firstLine="640" w:firstLineChars="200"/>
        <w:rPr>
          <w:rFonts w:eastAsia="仿宋"/>
          <w:sz w:val="32"/>
          <w:szCs w:val="32"/>
        </w:rPr>
      </w:pPr>
      <w:r>
        <w:rPr>
          <w:rFonts w:hint="eastAsia" w:eastAsia="仿宋"/>
          <w:sz w:val="32"/>
          <w:szCs w:val="32"/>
        </w:rPr>
        <w:t>一年来，队党委以党的政治建设为统领，认真履行党建职责，全面落实党建任务，着力提升党建水平，为我队地勘经济高质量发展提供了坚强的政治保证。队党委理论学习中心组（扩大）开展集中学习18次，深入</w:t>
      </w:r>
      <w:bookmarkStart w:id="2" w:name="_GoBack"/>
      <w:bookmarkEnd w:id="2"/>
      <w:r>
        <w:rPr>
          <w:rFonts w:hint="eastAsia" w:eastAsia="仿宋"/>
          <w:sz w:val="32"/>
          <w:szCs w:val="32"/>
          <w:lang w:eastAsia="zh-CN"/>
        </w:rPr>
        <w:t>学习贯彻习近平总书记“七一”重要讲话</w:t>
      </w:r>
      <w:r>
        <w:rPr>
          <w:rFonts w:hint="eastAsia" w:eastAsia="仿宋"/>
          <w:sz w:val="32"/>
          <w:szCs w:val="32"/>
        </w:rPr>
        <w:t>精神、党的十九届六中全会和省第十二次党代会精神；扎实开展“学史明理、学史增信、学史崇德、学史力行”四个专题教育，圆满完成建党百年庆祝活动合计10余项；深入开展“我为群众办实事”，完成职工群众“急难愁盼”的工作实事7项；强化基层党组织工作，推进支部“五化”建设，严格执行“三会一课”、领导干部双重组织生活会、主题党日等组织生活制度，加大党建引领文明创建与业务工作相融相促，广大党员干部打头阵、当先锋、作表率，推动各项工作取得实效。</w:t>
      </w:r>
    </w:p>
    <w:p w14:paraId="734E764C">
      <w:pPr>
        <w:spacing w:line="560" w:lineRule="exact"/>
        <w:ind w:firstLine="640" w:firstLineChars="200"/>
        <w:rPr>
          <w:rFonts w:eastAsia="仿宋"/>
          <w:sz w:val="32"/>
          <w:szCs w:val="32"/>
        </w:rPr>
      </w:pPr>
      <w:r>
        <w:rPr>
          <w:rFonts w:eastAsia="仿宋"/>
          <w:sz w:val="32"/>
          <w:szCs w:val="32"/>
        </w:rPr>
        <w:t>2</w:t>
      </w:r>
      <w:r>
        <w:rPr>
          <w:rFonts w:hint="eastAsia" w:eastAsia="仿宋"/>
          <w:sz w:val="32"/>
          <w:szCs w:val="32"/>
        </w:rPr>
        <w:t>、地质主业</w:t>
      </w:r>
    </w:p>
    <w:p w14:paraId="3EBE1D72">
      <w:pPr>
        <w:spacing w:line="560" w:lineRule="exact"/>
        <w:ind w:firstLine="640" w:firstLineChars="200"/>
        <w:rPr>
          <w:rFonts w:eastAsia="仿宋"/>
          <w:sz w:val="32"/>
          <w:szCs w:val="32"/>
        </w:rPr>
      </w:pPr>
      <w:r>
        <w:rPr>
          <w:rFonts w:hint="eastAsia" w:eastAsia="仿宋"/>
          <w:sz w:val="32"/>
          <w:szCs w:val="32"/>
        </w:rPr>
        <w:t>地质找矿实现新突破。“湖南省连云山地区金钴矿产地质调查与找矿预测”完成提交找矿靶区3处，提交了平江县万古矿区大塘冲矿段金矿详查报告。平江县金综合异常查证与靶区优选项目进展顺利，初步探明万古矿区主矿脉往东部延伸，进一步拓宽找矿空间。大力推进实施砂石矿勘查。除统领长沙、岳阳地区外，还涉入邵阳、怀化、永州等多个县市区。技术服务拓展延伸。同时与长沙市、岳阳市下辖县市区以及新邵县、新宁县等20多个市县的自然资源主管部门建立了长期合作关系，夯实了地质技术服务项目承接基础。</w:t>
      </w:r>
    </w:p>
    <w:p w14:paraId="1B4F99D4">
      <w:pPr>
        <w:spacing w:line="560" w:lineRule="exact"/>
        <w:ind w:firstLine="640" w:firstLineChars="200"/>
        <w:rPr>
          <w:rFonts w:eastAsia="仿宋"/>
          <w:sz w:val="32"/>
          <w:szCs w:val="32"/>
        </w:rPr>
      </w:pPr>
      <w:r>
        <w:rPr>
          <w:rFonts w:hint="eastAsia" w:eastAsia="仿宋"/>
          <w:sz w:val="32"/>
          <w:szCs w:val="32"/>
        </w:rPr>
        <w:t>生态环境。积极对接相关部门，在山水林田湖草生态修复、矿山生态修复领域承接了大量项目，高质高效编制了《湖南长江重点生态区洞庭湖区域山水林田湖草沙一体化保护和修复工程实施方案》；中标生态环境厅铅锌矿区与化工园区地下水污染调查项目，在环保领域迈出了坚实的一步。承担了湖南省化工园区持续开展长沙、郴州、岳阳、益阳等4市的地下水监测。地质灾害。支撑长沙市本级以及14个县市区的地质灾害防治工作；实施了12个地区地灾风险普查工作，承担了7个1：10000高精度地灾调查与风险评价项目，牵头编制相应技术要求，稳步推进重大地质灾害项目施工；全面对标地灾技术支撑责任，重点建实建强省地质灾害应急救援中心，编制省级应急救援平台总体论证方案，完成省地质灾害应急救援信息管理平台（一期）建设，建立覆盖全省14个市州的“一日一报”信息报送机制和省市县三级资源共享、应急联动机制、项目共建机制。认真做好汛前排查、汛期巡查、汛后复查“三查”工作，组织开展培训演练、宣传教育、应急处置、搬迁避让等工作，成为地方政府信得过、用得上、能管用的技术支撑服务主力军。</w:t>
      </w:r>
    </w:p>
    <w:p w14:paraId="35E17B26">
      <w:pPr>
        <w:spacing w:line="560" w:lineRule="exact"/>
        <w:ind w:firstLine="640" w:firstLineChars="200"/>
        <w:rPr>
          <w:rFonts w:eastAsia="仿宋"/>
          <w:sz w:val="32"/>
          <w:szCs w:val="32"/>
        </w:rPr>
      </w:pPr>
      <w:r>
        <w:rPr>
          <w:rFonts w:hint="eastAsia" w:eastAsia="仿宋"/>
          <w:sz w:val="32"/>
          <w:szCs w:val="32"/>
        </w:rPr>
        <w:t>3、能力建设</w:t>
      </w:r>
    </w:p>
    <w:p w14:paraId="5D6DF7A9">
      <w:pPr>
        <w:spacing w:line="560" w:lineRule="exact"/>
        <w:ind w:firstLine="640" w:firstLineChars="200"/>
        <w:rPr>
          <w:rFonts w:eastAsia="仿宋"/>
          <w:sz w:val="32"/>
          <w:szCs w:val="32"/>
        </w:rPr>
      </w:pPr>
      <w:r>
        <w:rPr>
          <w:rFonts w:hint="eastAsia" w:eastAsia="仿宋"/>
          <w:sz w:val="32"/>
          <w:szCs w:val="32"/>
        </w:rPr>
        <w:t>人才专业技能有序推进。积极培养适应转型发展所需的高素质人才队伍，开展专业培训近2234人次，推选各类专家80人，4人通过注册类专业资格考试，112人通过职称晋升及考工晋级。科技创新实力明显增强。完成9项科研项目立项，积极推进省地灾监测预警与应急救援工程技术研究中心平台建设，科技成果硕果满枝，湖南省平江县万古矿区金矿找矿成果获自然资源部找矿突破战略行动优秀找矿成果奖，湖南金井-九岭地区矿产地质调查获国土资源科技奖二等奖，湖南省平江县万古矿区边深部金矿普查获省科技进步奖三等奖。</w:t>
      </w:r>
    </w:p>
    <w:p w14:paraId="494B73D5">
      <w:pPr>
        <w:spacing w:line="560" w:lineRule="exact"/>
        <w:ind w:firstLine="640" w:firstLineChars="200"/>
        <w:rPr>
          <w:rFonts w:eastAsia="仿宋"/>
          <w:sz w:val="32"/>
          <w:szCs w:val="32"/>
        </w:rPr>
      </w:pPr>
      <w:r>
        <w:rPr>
          <w:rFonts w:hint="eastAsia" w:eastAsia="仿宋"/>
          <w:sz w:val="32"/>
          <w:szCs w:val="32"/>
        </w:rPr>
        <w:t>4、基础管理</w:t>
      </w:r>
    </w:p>
    <w:p w14:paraId="4D0B00C0">
      <w:pPr>
        <w:spacing w:line="560" w:lineRule="exact"/>
        <w:ind w:firstLine="640" w:firstLineChars="200"/>
        <w:rPr>
          <w:rFonts w:eastAsia="仿宋"/>
          <w:sz w:val="32"/>
          <w:szCs w:val="32"/>
        </w:rPr>
      </w:pPr>
      <w:r>
        <w:rPr>
          <w:rFonts w:hint="eastAsia" w:eastAsia="仿宋"/>
          <w:sz w:val="32"/>
          <w:szCs w:val="32"/>
        </w:rPr>
        <w:t>今年以来，我队以问题导向，推行清单式工作模式，强化建章立制和管理创新，管理效能进一步提升。一是制度体系逐步完善。出台了公务用车、公务接待、合同、印章、资质、应收账款、保密工作等制度办法10余项。二是专项工作卓有成效。开展了违反中央八项规定精神突出问题专项整治、资金资产使用监管突出问题专项治理、招投标领域违纪违法行为专项整治、“老工伤”问题专项清查、机构编制核查等工作。对标对表省地质院巡视整改反馈意见和问题清单，深入细致梳理摸排相关历史遗留问题和风险隐患，逐一整改落实。三是审计监督形成合力。开展重大项目和重点工程的跟踪审计，完善监督工作机制，强化审计、财务、纪检监督联动效能。</w:t>
      </w:r>
    </w:p>
    <w:p w14:paraId="118C0BDC">
      <w:pPr>
        <w:spacing w:line="560" w:lineRule="exact"/>
        <w:ind w:firstLine="640" w:firstLineChars="200"/>
        <w:rPr>
          <w:rFonts w:eastAsia="仿宋"/>
          <w:sz w:val="32"/>
          <w:szCs w:val="32"/>
        </w:rPr>
      </w:pPr>
      <w:r>
        <w:rPr>
          <w:rFonts w:hint="eastAsia" w:eastAsia="仿宋"/>
          <w:sz w:val="32"/>
          <w:szCs w:val="32"/>
        </w:rPr>
        <w:t>5、和谐建设</w:t>
      </w:r>
    </w:p>
    <w:p w14:paraId="380A7C67">
      <w:pPr>
        <w:spacing w:line="560" w:lineRule="exact"/>
        <w:ind w:firstLine="640" w:firstLineChars="200"/>
        <w:rPr>
          <w:rFonts w:eastAsia="仿宋"/>
          <w:sz w:val="32"/>
          <w:szCs w:val="32"/>
        </w:rPr>
      </w:pPr>
      <w:r>
        <w:rPr>
          <w:rFonts w:hint="eastAsia" w:eastAsia="仿宋"/>
          <w:sz w:val="32"/>
          <w:szCs w:val="32"/>
        </w:rPr>
        <w:t>我队始终坚持以人民为中心的发展思想，切实加强保障和改善民生水平，职工获得感幸福感安全感显著增强。民生改善落到实处。有关“老工伤问题得到妥善处理，保障了职工群众的根本利益；完成了永安基地旧房修整、破损路面修复、危房拆除等工作；抓好扶贫帮困工作，走访慰问六省近20个县市67位异地安置的离退休职工，共帮扶117户困难家庭。平安建设成效显著。全面落实治安防控和安全生产要求，发挥人防物防技防作用，推进工程项目文明施工和安全生产标准化建设，推进信访维稳、保密工作，保证了安全安稳安定的工作生活环境。疫情防控压实责任。加强领导、快速部署、全面摸排、全程严防，全力做好疫苗接种服务引导、服务组织等工作，继续巩固“零感染、零疑似”疫情防控成果，保障了职工群众生命健康安全。文化建设更加深入。宣传工作不断加强，充分利用地建报、队门户网站、公众号等宣传平台，深入宣传地质人、地质成果和地质精神，为全队改革发发展提供了有力的舆论支持。</w:t>
      </w:r>
    </w:p>
    <w:p w14:paraId="1A58AF36">
      <w:pPr>
        <w:spacing w:line="560" w:lineRule="exact"/>
        <w:ind w:firstLine="640" w:firstLineChars="200"/>
        <w:rPr>
          <w:rFonts w:eastAsia="黑体"/>
          <w:sz w:val="32"/>
          <w:szCs w:val="32"/>
        </w:rPr>
      </w:pPr>
      <w:r>
        <w:rPr>
          <w:rFonts w:eastAsia="黑体"/>
          <w:sz w:val="32"/>
          <w:szCs w:val="32"/>
        </w:rPr>
        <w:t>七、存在的问题及原因分析</w:t>
      </w:r>
    </w:p>
    <w:p w14:paraId="0A479E3A">
      <w:pPr>
        <w:spacing w:line="560" w:lineRule="exact"/>
        <w:ind w:firstLine="640" w:firstLineChars="200"/>
        <w:rPr>
          <w:rFonts w:eastAsia="仿宋"/>
          <w:sz w:val="32"/>
          <w:szCs w:val="32"/>
        </w:rPr>
      </w:pPr>
      <w:r>
        <w:rPr>
          <w:rFonts w:eastAsia="仿宋"/>
          <w:sz w:val="32"/>
          <w:szCs w:val="32"/>
        </w:rPr>
        <w:t>2021年我队指标的结余资金</w:t>
      </w:r>
      <w:r>
        <w:rPr>
          <w:rFonts w:hint="eastAsia" w:eastAsia="仿宋"/>
          <w:sz w:val="32"/>
          <w:szCs w:val="32"/>
        </w:rPr>
        <w:t>2</w:t>
      </w:r>
      <w:r>
        <w:rPr>
          <w:rFonts w:eastAsia="仿宋"/>
          <w:sz w:val="32"/>
          <w:szCs w:val="32"/>
        </w:rPr>
        <w:t>6万元，主要原因在于项目上指标的时间较晚。</w:t>
      </w:r>
    </w:p>
    <w:p w14:paraId="29EE6C97">
      <w:pPr>
        <w:widowControl/>
        <w:spacing w:line="600" w:lineRule="exact"/>
        <w:ind w:firstLine="640" w:firstLineChars="200"/>
        <w:jc w:val="left"/>
        <w:rPr>
          <w:rFonts w:eastAsia="黑体"/>
          <w:sz w:val="32"/>
          <w:szCs w:val="32"/>
        </w:rPr>
      </w:pPr>
      <w:r>
        <w:rPr>
          <w:rFonts w:eastAsia="黑体"/>
          <w:sz w:val="32"/>
          <w:szCs w:val="32"/>
        </w:rPr>
        <w:t>八、下一步改进措施</w:t>
      </w:r>
    </w:p>
    <w:p w14:paraId="037BB90E">
      <w:pPr>
        <w:widowControl/>
        <w:spacing w:line="600" w:lineRule="exact"/>
        <w:ind w:firstLine="640" w:firstLineChars="200"/>
        <w:jc w:val="left"/>
        <w:rPr>
          <w:rFonts w:eastAsia="仿宋"/>
          <w:sz w:val="32"/>
          <w:szCs w:val="32"/>
        </w:rPr>
      </w:pPr>
      <w:r>
        <w:rPr>
          <w:rFonts w:hint="eastAsia" w:eastAsia="仿宋"/>
          <w:sz w:val="32"/>
          <w:szCs w:val="32"/>
        </w:rPr>
        <w:t>我单位将严格按照《预算法》及湖南省财政厅要求，如实编制预算，严格支出管理；合理安排支出，做到专款专用；制定预算执行制度，建立健全内部控制机制；实施绩效监控，开展绩效评价，及时信息公开；不断提高资金使用效益。</w:t>
      </w:r>
    </w:p>
    <w:p w14:paraId="70FC8869">
      <w:pPr>
        <w:spacing w:line="560" w:lineRule="exact"/>
        <w:ind w:firstLine="640" w:firstLineChars="200"/>
        <w:rPr>
          <w:rFonts w:eastAsia="黑体"/>
          <w:sz w:val="32"/>
          <w:szCs w:val="32"/>
        </w:rPr>
      </w:pPr>
      <w:r>
        <w:rPr>
          <w:rFonts w:hint="eastAsia" w:eastAsia="黑体"/>
          <w:sz w:val="32"/>
          <w:szCs w:val="32"/>
        </w:rPr>
        <w:t>九</w:t>
      </w:r>
      <w:r>
        <w:rPr>
          <w:rFonts w:eastAsia="黑体"/>
          <w:sz w:val="32"/>
          <w:szCs w:val="32"/>
        </w:rPr>
        <w:t>、部门整体支出绩效自评结果拟应用和公开情况</w:t>
      </w:r>
    </w:p>
    <w:p w14:paraId="2B4CCB24">
      <w:pPr>
        <w:spacing w:line="560" w:lineRule="exact"/>
        <w:ind w:firstLine="640" w:firstLineChars="200"/>
        <w:rPr>
          <w:rFonts w:eastAsia="仿宋"/>
          <w:sz w:val="32"/>
          <w:szCs w:val="32"/>
        </w:rPr>
      </w:pPr>
      <w:r>
        <w:rPr>
          <w:rFonts w:eastAsia="仿宋"/>
          <w:sz w:val="32"/>
          <w:szCs w:val="32"/>
        </w:rPr>
        <w:t>2020年绩效评价自评材料在湖南省地质</w:t>
      </w:r>
      <w:r>
        <w:rPr>
          <w:rFonts w:hint="eastAsia" w:eastAsia="仿宋"/>
          <w:sz w:val="32"/>
          <w:szCs w:val="32"/>
        </w:rPr>
        <w:t>矿产勘查开发局四〇二队</w:t>
      </w:r>
      <w:r>
        <w:rPr>
          <w:rFonts w:eastAsia="仿宋"/>
          <w:sz w:val="32"/>
          <w:szCs w:val="32"/>
        </w:rPr>
        <w:t>网址公开挂网。</w:t>
      </w:r>
    </w:p>
    <w:p w14:paraId="03E0E844">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F0CED2"/>
    <w:multiLevelType w:val="singleLevel"/>
    <w:tmpl w:val="2AF0CED2"/>
    <w:lvl w:ilvl="0" w:tentative="0">
      <w:start w:val="3"/>
      <w:numFmt w:val="decimal"/>
      <w:suff w:val="nothing"/>
      <w:lvlText w:val="%1、"/>
      <w:lvlJc w:val="left"/>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5YTI1YTAwNDBhOWJmNGEwYzJhYWEyNThjZjkwMjk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44137"/>
    <w:rsid w:val="0015179F"/>
    <w:rsid w:val="00152C6D"/>
    <w:rsid w:val="00162D39"/>
    <w:rsid w:val="001678BD"/>
    <w:rsid w:val="00182373"/>
    <w:rsid w:val="001A67DB"/>
    <w:rsid w:val="001B2B52"/>
    <w:rsid w:val="001C3C29"/>
    <w:rsid w:val="001C74CA"/>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63048"/>
    <w:rsid w:val="0037197D"/>
    <w:rsid w:val="003768D5"/>
    <w:rsid w:val="003C4197"/>
    <w:rsid w:val="003C47E6"/>
    <w:rsid w:val="003C4FC2"/>
    <w:rsid w:val="003E2331"/>
    <w:rsid w:val="003E7DB5"/>
    <w:rsid w:val="00416E61"/>
    <w:rsid w:val="0042790C"/>
    <w:rsid w:val="004506F9"/>
    <w:rsid w:val="00454471"/>
    <w:rsid w:val="004717A2"/>
    <w:rsid w:val="00473DF3"/>
    <w:rsid w:val="00487911"/>
    <w:rsid w:val="00491741"/>
    <w:rsid w:val="004B0CEE"/>
    <w:rsid w:val="004B4BEA"/>
    <w:rsid w:val="00500E5F"/>
    <w:rsid w:val="005122EF"/>
    <w:rsid w:val="0051441A"/>
    <w:rsid w:val="00517C33"/>
    <w:rsid w:val="00517D5F"/>
    <w:rsid w:val="00521AF2"/>
    <w:rsid w:val="00523644"/>
    <w:rsid w:val="0054069E"/>
    <w:rsid w:val="00544866"/>
    <w:rsid w:val="0055411B"/>
    <w:rsid w:val="005767CC"/>
    <w:rsid w:val="00590D9F"/>
    <w:rsid w:val="00595D26"/>
    <w:rsid w:val="005A74E6"/>
    <w:rsid w:val="005B404E"/>
    <w:rsid w:val="005D4D55"/>
    <w:rsid w:val="005E2CFB"/>
    <w:rsid w:val="005F2103"/>
    <w:rsid w:val="005F3783"/>
    <w:rsid w:val="005F3D1C"/>
    <w:rsid w:val="0062378F"/>
    <w:rsid w:val="00641842"/>
    <w:rsid w:val="00651EEC"/>
    <w:rsid w:val="00686673"/>
    <w:rsid w:val="00691E8C"/>
    <w:rsid w:val="006959E1"/>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74276"/>
    <w:rsid w:val="00784AB5"/>
    <w:rsid w:val="00787B42"/>
    <w:rsid w:val="007C4539"/>
    <w:rsid w:val="007F3657"/>
    <w:rsid w:val="00812ED5"/>
    <w:rsid w:val="008277D9"/>
    <w:rsid w:val="008405EF"/>
    <w:rsid w:val="0084478C"/>
    <w:rsid w:val="0086638C"/>
    <w:rsid w:val="00873271"/>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72FC1"/>
    <w:rsid w:val="00A92E9F"/>
    <w:rsid w:val="00AB0F1C"/>
    <w:rsid w:val="00B33BEA"/>
    <w:rsid w:val="00B57C9F"/>
    <w:rsid w:val="00B63572"/>
    <w:rsid w:val="00B77FAD"/>
    <w:rsid w:val="00B845B3"/>
    <w:rsid w:val="00B85D8B"/>
    <w:rsid w:val="00BA44D7"/>
    <w:rsid w:val="00BB4A40"/>
    <w:rsid w:val="00BD6C3E"/>
    <w:rsid w:val="00BE3674"/>
    <w:rsid w:val="00C10681"/>
    <w:rsid w:val="00C3049A"/>
    <w:rsid w:val="00C31B1E"/>
    <w:rsid w:val="00C77645"/>
    <w:rsid w:val="00C944E6"/>
    <w:rsid w:val="00CE04C3"/>
    <w:rsid w:val="00CE76A0"/>
    <w:rsid w:val="00D148C6"/>
    <w:rsid w:val="00D17A8A"/>
    <w:rsid w:val="00D415BA"/>
    <w:rsid w:val="00D6235B"/>
    <w:rsid w:val="00D63780"/>
    <w:rsid w:val="00D644EE"/>
    <w:rsid w:val="00D75489"/>
    <w:rsid w:val="00DD06FF"/>
    <w:rsid w:val="00DD5FE9"/>
    <w:rsid w:val="00DF035A"/>
    <w:rsid w:val="00E00C7A"/>
    <w:rsid w:val="00E209CF"/>
    <w:rsid w:val="00E37D6C"/>
    <w:rsid w:val="00E44961"/>
    <w:rsid w:val="00E55B68"/>
    <w:rsid w:val="00E67BE6"/>
    <w:rsid w:val="00E8683C"/>
    <w:rsid w:val="00EA2B72"/>
    <w:rsid w:val="00F74360"/>
    <w:rsid w:val="00FB462F"/>
    <w:rsid w:val="00FE16FA"/>
    <w:rsid w:val="00FE328A"/>
    <w:rsid w:val="00FE6269"/>
    <w:rsid w:val="00FF5CD6"/>
    <w:rsid w:val="03216B13"/>
    <w:rsid w:val="043018D3"/>
    <w:rsid w:val="04AB2A19"/>
    <w:rsid w:val="06201525"/>
    <w:rsid w:val="0C1971C9"/>
    <w:rsid w:val="0CA5180B"/>
    <w:rsid w:val="0CD95C35"/>
    <w:rsid w:val="0D494D59"/>
    <w:rsid w:val="0F356E77"/>
    <w:rsid w:val="117876AB"/>
    <w:rsid w:val="13C13857"/>
    <w:rsid w:val="14E66707"/>
    <w:rsid w:val="153D3894"/>
    <w:rsid w:val="17567E79"/>
    <w:rsid w:val="175B7696"/>
    <w:rsid w:val="18383533"/>
    <w:rsid w:val="189B6774"/>
    <w:rsid w:val="1A9F5AEC"/>
    <w:rsid w:val="1AD51BFD"/>
    <w:rsid w:val="1B4C0A9C"/>
    <w:rsid w:val="1C381D54"/>
    <w:rsid w:val="1CF6785B"/>
    <w:rsid w:val="247F2B51"/>
    <w:rsid w:val="25390424"/>
    <w:rsid w:val="27C77881"/>
    <w:rsid w:val="28780664"/>
    <w:rsid w:val="28AD37B2"/>
    <w:rsid w:val="28BE3FC0"/>
    <w:rsid w:val="2A225DC6"/>
    <w:rsid w:val="2A796019"/>
    <w:rsid w:val="2B071EC9"/>
    <w:rsid w:val="2DD76E0F"/>
    <w:rsid w:val="2E474078"/>
    <w:rsid w:val="2FF26550"/>
    <w:rsid w:val="30FD3C03"/>
    <w:rsid w:val="32432DA9"/>
    <w:rsid w:val="3431759C"/>
    <w:rsid w:val="343A0B52"/>
    <w:rsid w:val="368C1A2C"/>
    <w:rsid w:val="37256F21"/>
    <w:rsid w:val="37D01356"/>
    <w:rsid w:val="38D766BE"/>
    <w:rsid w:val="3BEDDAEF"/>
    <w:rsid w:val="3D207014"/>
    <w:rsid w:val="3D4C5207"/>
    <w:rsid w:val="3DCA2879"/>
    <w:rsid w:val="3E5F023D"/>
    <w:rsid w:val="40BF058D"/>
    <w:rsid w:val="4213632D"/>
    <w:rsid w:val="426971DD"/>
    <w:rsid w:val="43B26BAF"/>
    <w:rsid w:val="43D82DCC"/>
    <w:rsid w:val="43E51F12"/>
    <w:rsid w:val="458E569B"/>
    <w:rsid w:val="46B6648D"/>
    <w:rsid w:val="46BC3081"/>
    <w:rsid w:val="47460402"/>
    <w:rsid w:val="4AB64535"/>
    <w:rsid w:val="4ADE0268"/>
    <w:rsid w:val="4C03043D"/>
    <w:rsid w:val="4CC053BB"/>
    <w:rsid w:val="4E7B4CA6"/>
    <w:rsid w:val="50ED532F"/>
    <w:rsid w:val="51E0195A"/>
    <w:rsid w:val="52A73C68"/>
    <w:rsid w:val="52E8610E"/>
    <w:rsid w:val="540B3A76"/>
    <w:rsid w:val="55915A56"/>
    <w:rsid w:val="5786781C"/>
    <w:rsid w:val="581574B2"/>
    <w:rsid w:val="58660FC9"/>
    <w:rsid w:val="5A117165"/>
    <w:rsid w:val="5C852912"/>
    <w:rsid w:val="5D5D1835"/>
    <w:rsid w:val="5F3742BD"/>
    <w:rsid w:val="5F4D6232"/>
    <w:rsid w:val="60661077"/>
    <w:rsid w:val="60B62E5B"/>
    <w:rsid w:val="62187645"/>
    <w:rsid w:val="62564AA8"/>
    <w:rsid w:val="6324615B"/>
    <w:rsid w:val="63CA01EC"/>
    <w:rsid w:val="68E81C08"/>
    <w:rsid w:val="699733EA"/>
    <w:rsid w:val="6A3A358D"/>
    <w:rsid w:val="6AC40135"/>
    <w:rsid w:val="6BD2792A"/>
    <w:rsid w:val="6C5B3267"/>
    <w:rsid w:val="6CAD3543"/>
    <w:rsid w:val="6CF070AE"/>
    <w:rsid w:val="6D3C4515"/>
    <w:rsid w:val="6DD23A83"/>
    <w:rsid w:val="6EC756E3"/>
    <w:rsid w:val="6F533C5F"/>
    <w:rsid w:val="6FCB2538"/>
    <w:rsid w:val="70A26857"/>
    <w:rsid w:val="70E61887"/>
    <w:rsid w:val="71DB43CD"/>
    <w:rsid w:val="72461725"/>
    <w:rsid w:val="72481D24"/>
    <w:rsid w:val="7758332B"/>
    <w:rsid w:val="78AF7119"/>
    <w:rsid w:val="790E1176"/>
    <w:rsid w:val="7D873BE2"/>
    <w:rsid w:val="7E36223B"/>
    <w:rsid w:val="7E973BE2"/>
    <w:rsid w:val="BF5F389D"/>
    <w:rsid w:val="EBB7CAF3"/>
    <w:rsid w:val="FF374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30</Pages>
  <Words>8793</Words>
  <Characters>9446</Characters>
  <Lines>72</Lines>
  <Paragraphs>20</Paragraphs>
  <TotalTime>2</TotalTime>
  <ScaleCrop>false</ScaleCrop>
  <LinksUpToDate>false</LinksUpToDate>
  <CharactersWithSpaces>9873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2020-07-02T10:32:00Z</dcterms:created>
  <dc:creator>李航 null</dc:creator>
  <cp:lastModifiedBy>代红玉</cp:lastModifiedBy>
  <cp:lastPrinted>2022-07-27T20:55:00Z</cp:lastPrinted>
  <dcterms:modified xsi:type="dcterms:W3CDTF">2025-05-22T10:15:54Z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1A3A2081810047B48BE3B735533A9645</vt:lpwstr>
  </property>
  <property fmtid="{D5CDD505-2E9C-101B-9397-08002B2CF9AE}" pid="4" name="KSOTemplateDocerSaveRecord">
    <vt:lpwstr>eyJoZGlkIjoiOTg1YzRjMGJjYjY5ZGNmYWJiYmQ5MGRmMmRmYjE0OGMiLCJ1c2VySWQiOiIyMjc5ODU5OTMifQ==</vt:lpwstr>
  </property>
</Properties>
</file>