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color w:val="auto"/>
          <w:sz w:val="56"/>
          <w:szCs w:val="56"/>
        </w:rPr>
      </w:pPr>
    </w:p>
    <w:p>
      <w:pPr>
        <w:pStyle w:val="10"/>
        <w:jc w:val="center"/>
        <w:rPr>
          <w:color w:val="auto"/>
          <w:sz w:val="56"/>
          <w:szCs w:val="56"/>
        </w:rPr>
      </w:pPr>
    </w:p>
    <w:p>
      <w:pPr>
        <w:pStyle w:val="10"/>
        <w:jc w:val="center"/>
        <w:rPr>
          <w:color w:val="auto"/>
          <w:sz w:val="84"/>
          <w:szCs w:val="84"/>
        </w:rPr>
      </w:pPr>
    </w:p>
    <w:p>
      <w:pPr>
        <w:pStyle w:val="10"/>
        <w:jc w:val="center"/>
        <w:rPr>
          <w:color w:val="auto"/>
          <w:sz w:val="84"/>
          <w:szCs w:val="84"/>
        </w:rPr>
      </w:pPr>
    </w:p>
    <w:p>
      <w:pPr>
        <w:pStyle w:val="10"/>
        <w:jc w:val="center"/>
        <w:rPr>
          <w:color w:val="auto"/>
          <w:sz w:val="84"/>
          <w:szCs w:val="84"/>
        </w:rPr>
      </w:pPr>
      <w:r>
        <w:rPr>
          <w:rFonts w:hint="eastAsia"/>
          <w:color w:val="auto"/>
          <w:sz w:val="84"/>
          <w:szCs w:val="84"/>
        </w:rPr>
        <w:t>2021年度</w:t>
      </w:r>
    </w:p>
    <w:p>
      <w:pPr>
        <w:pStyle w:val="10"/>
        <w:jc w:val="center"/>
        <w:rPr>
          <w:color w:val="auto"/>
          <w:sz w:val="84"/>
          <w:szCs w:val="84"/>
        </w:rPr>
      </w:pPr>
      <w:r>
        <w:rPr>
          <w:rFonts w:hint="eastAsia"/>
          <w:color w:val="auto"/>
          <w:sz w:val="84"/>
          <w:szCs w:val="84"/>
        </w:rPr>
        <w:t>湖南省煤炭地质勘查院</w:t>
      </w:r>
    </w:p>
    <w:p>
      <w:pPr>
        <w:pStyle w:val="10"/>
        <w:jc w:val="center"/>
        <w:rPr>
          <w:color w:val="auto"/>
          <w:sz w:val="84"/>
          <w:szCs w:val="84"/>
        </w:rPr>
      </w:pPr>
      <w:r>
        <w:rPr>
          <w:rFonts w:hint="eastAsia"/>
          <w:color w:val="auto"/>
          <w:sz w:val="84"/>
          <w:szCs w:val="84"/>
        </w:rPr>
        <w:t>部门决算</w:t>
      </w: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32"/>
          <w:szCs w:val="32"/>
        </w:rPr>
      </w:pPr>
    </w:p>
    <w:p>
      <w:pPr>
        <w:pStyle w:val="10"/>
        <w:jc w:val="center"/>
        <w:rPr>
          <w:color w:val="auto"/>
          <w:sz w:val="32"/>
          <w:szCs w:val="32"/>
        </w:rPr>
      </w:pPr>
    </w:p>
    <w:p>
      <w:pPr>
        <w:pStyle w:val="10"/>
        <w:jc w:val="center"/>
        <w:rPr>
          <w:color w:val="auto"/>
          <w:sz w:val="32"/>
          <w:szCs w:val="32"/>
        </w:rPr>
      </w:pPr>
    </w:p>
    <w:p>
      <w:pPr>
        <w:pStyle w:val="10"/>
        <w:spacing w:line="500" w:lineRule="exact"/>
        <w:jc w:val="center"/>
        <w:rPr>
          <w:b/>
          <w:color w:val="auto"/>
          <w:sz w:val="36"/>
          <w:szCs w:val="28"/>
        </w:rPr>
      </w:pPr>
      <w:r>
        <w:rPr>
          <w:rFonts w:hint="eastAsia"/>
          <w:b/>
          <w:color w:val="auto"/>
          <w:sz w:val="36"/>
          <w:szCs w:val="28"/>
        </w:rPr>
        <w:t>目录</w:t>
      </w:r>
    </w:p>
    <w:p>
      <w:pPr>
        <w:pStyle w:val="10"/>
        <w:spacing w:line="460" w:lineRule="exact"/>
        <w:rPr>
          <w:rFonts w:ascii="仿宋_GB2312" w:hAnsi="仿宋_GB2312" w:cs="仿宋_GB2312"/>
          <w:b/>
          <w:color w:val="auto"/>
          <w:sz w:val="28"/>
          <w:szCs w:val="28"/>
        </w:rPr>
      </w:pPr>
      <w:r>
        <w:rPr>
          <w:rFonts w:hint="eastAsia"/>
          <w:b/>
          <w:color w:val="auto"/>
          <w:sz w:val="28"/>
          <w:szCs w:val="28"/>
        </w:rPr>
        <w:t>第一部分湖南省煤炭地质勘查院概况</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10"/>
        <w:spacing w:line="46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21年度部门决算表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w:t>
      </w:r>
      <w:r>
        <w:rPr>
          <w:rFonts w:hint="eastAsia" w:cs="仿宋_GB2312" w:asciiTheme="minorEastAsia" w:hAnsiTheme="minorEastAsia" w:eastAsiaTheme="minorEastAsia"/>
          <w:color w:val="auto"/>
          <w:sz w:val="28"/>
          <w:szCs w:val="28"/>
        </w:rPr>
        <w:t>明细</w:t>
      </w:r>
      <w:r>
        <w:rPr>
          <w:rFonts w:cs="仿宋_GB2312" w:asciiTheme="minorEastAsia" w:hAnsiTheme="minorEastAsia" w:eastAsiaTheme="minorEastAsia"/>
          <w:color w:val="auto"/>
          <w:sz w:val="28"/>
          <w:szCs w:val="28"/>
        </w:rPr>
        <w:t>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10"/>
        <w:spacing w:line="46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10"/>
        <w:spacing w:line="46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21年度部门决算情况说明</w:t>
      </w:r>
    </w:p>
    <w:p>
      <w:pPr>
        <w:pStyle w:val="10"/>
        <w:spacing w:line="46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46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三、支出决算情况说明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四、财政拨款收入支出决算总体情况说明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五、一般公共预算财政拨款支出决算情况说明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六、一般公共预算财政拨款基本支出决算情况说明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七、一般公共预算财政拨款</w:t>
      </w:r>
      <w:r>
        <w:rPr>
          <w:rFonts w:hint="eastAsia" w:ascii="仿宋_GB2312" w:hAnsi="仿宋_GB2312" w:cs="仿宋_GB2312"/>
          <w:kern w:val="0"/>
          <w:sz w:val="28"/>
          <w:szCs w:val="28"/>
        </w:rPr>
        <w:t>“</w:t>
      </w:r>
      <w:r>
        <w:rPr>
          <w:rFonts w:ascii="仿宋_GB2312" w:hAnsi="仿宋_GB2312" w:cs="仿宋_GB2312"/>
          <w:kern w:val="0"/>
          <w:sz w:val="28"/>
          <w:szCs w:val="28"/>
        </w:rPr>
        <w:t>三公</w:t>
      </w:r>
      <w:r>
        <w:rPr>
          <w:rFonts w:hint="eastAsia" w:ascii="仿宋_GB2312" w:hAnsi="仿宋_GB2312" w:cs="仿宋_GB2312"/>
          <w:kern w:val="0"/>
          <w:sz w:val="28"/>
          <w:szCs w:val="28"/>
        </w:rPr>
        <w:t>”</w:t>
      </w:r>
      <w:r>
        <w:rPr>
          <w:rFonts w:ascii="仿宋_GB2312" w:hAnsi="仿宋_GB2312" w:cs="仿宋_GB2312"/>
          <w:kern w:val="0"/>
          <w:sz w:val="28"/>
          <w:szCs w:val="28"/>
        </w:rPr>
        <w:t>经费支出决算情况说明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八</w:t>
      </w:r>
      <w:r>
        <w:rPr>
          <w:rFonts w:ascii="仿宋_GB2312" w:hAnsi="仿宋_GB2312" w:cs="仿宋_GB2312"/>
          <w:kern w:val="0"/>
          <w:sz w:val="28"/>
          <w:szCs w:val="28"/>
        </w:rPr>
        <w:t>、</w:t>
      </w:r>
      <w:r>
        <w:rPr>
          <w:rFonts w:hint="eastAsia" w:ascii="仿宋_GB2312" w:hAnsi="仿宋_GB2312" w:cs="仿宋_GB2312"/>
          <w:kern w:val="0"/>
          <w:sz w:val="28"/>
          <w:szCs w:val="28"/>
        </w:rPr>
        <w:t>政府性基金预算收入支出决算情况</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九</w:t>
      </w:r>
      <w:r>
        <w:rPr>
          <w:rFonts w:ascii="仿宋_GB2312" w:hAnsi="仿宋_GB2312" w:cs="仿宋_GB2312"/>
          <w:kern w:val="0"/>
          <w:sz w:val="28"/>
          <w:szCs w:val="28"/>
        </w:rPr>
        <w:t>、</w:t>
      </w:r>
      <w:r>
        <w:rPr>
          <w:rFonts w:hint="eastAsia" w:ascii="仿宋_GB2312" w:hAnsi="仿宋_GB2312" w:cs="仿宋_GB2312"/>
          <w:kern w:val="0"/>
          <w:sz w:val="28"/>
          <w:szCs w:val="28"/>
        </w:rPr>
        <w:t>机关运行经费支出说明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十、一般性支出情况说明</w:t>
      </w:r>
    </w:p>
    <w:p>
      <w:pPr>
        <w:autoSpaceDE w:val="0"/>
        <w:autoSpaceDN w:val="0"/>
        <w:adjustRightInd w:val="0"/>
        <w:spacing w:line="46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十一、政府采购支出说明</w:t>
      </w:r>
    </w:p>
    <w:p>
      <w:pPr>
        <w:pStyle w:val="10"/>
        <w:spacing w:line="46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十二、国有资产占用情况说明</w:t>
      </w:r>
    </w:p>
    <w:p>
      <w:pPr>
        <w:pStyle w:val="10"/>
        <w:spacing w:line="46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w:t>
      </w:r>
      <w:r>
        <w:rPr>
          <w:rFonts w:hint="eastAsia" w:cs="仿宋_GB2312" w:asciiTheme="minorEastAsia" w:hAnsiTheme="minorEastAsia" w:eastAsiaTheme="minorEastAsia"/>
          <w:color w:val="auto"/>
          <w:sz w:val="28"/>
          <w:szCs w:val="28"/>
        </w:rPr>
        <w:t>2021年</w:t>
      </w:r>
      <w:r>
        <w:rPr>
          <w:rFonts w:hint="eastAsia" w:ascii="仿宋_GB2312" w:hAnsi="仿宋_GB2312" w:cs="仿宋_GB2312" w:eastAsiaTheme="minorEastAsia"/>
          <w:color w:val="auto"/>
          <w:sz w:val="28"/>
          <w:szCs w:val="28"/>
        </w:rPr>
        <w:t>度预算绩效情况说明</w:t>
      </w:r>
    </w:p>
    <w:p>
      <w:pPr>
        <w:autoSpaceDE w:val="0"/>
        <w:autoSpaceDN w:val="0"/>
        <w:adjustRightInd w:val="0"/>
        <w:spacing w:line="460" w:lineRule="exact"/>
        <w:jc w:val="left"/>
        <w:rPr>
          <w:rFonts w:ascii="黑体" w:hAnsi="黑体" w:eastAsia="黑体" w:cs="黑体"/>
          <w:b/>
          <w:kern w:val="0"/>
          <w:sz w:val="28"/>
          <w:szCs w:val="28"/>
        </w:rPr>
      </w:pPr>
      <w:r>
        <w:rPr>
          <w:rFonts w:ascii="黑体" w:hAnsi="黑体" w:eastAsia="黑体" w:cs="黑体"/>
          <w:b/>
          <w:kern w:val="0"/>
          <w:sz w:val="28"/>
          <w:szCs w:val="28"/>
        </w:rPr>
        <w:t>第四部分名词解释</w:t>
      </w:r>
    </w:p>
    <w:p>
      <w:pPr>
        <w:autoSpaceDE w:val="0"/>
        <w:autoSpaceDN w:val="0"/>
        <w:adjustRightInd w:val="0"/>
        <w:spacing w:line="460" w:lineRule="exact"/>
        <w:jc w:val="left"/>
        <w:rPr>
          <w:rFonts w:ascii="黑体" w:hAnsi="黑体" w:eastAsia="黑体" w:cs="仿宋_GB2312"/>
          <w:b/>
          <w:kern w:val="0"/>
          <w:sz w:val="28"/>
          <w:szCs w:val="28"/>
        </w:rPr>
      </w:pPr>
      <w:r>
        <w:rPr>
          <w:rFonts w:hint="eastAsia" w:ascii="黑体" w:hAnsi="黑体" w:eastAsia="黑体" w:cs="黑体"/>
          <w:b/>
          <w:kern w:val="0"/>
          <w:sz w:val="28"/>
          <w:szCs w:val="28"/>
        </w:rPr>
        <w:t>第五部分附件</w:t>
      </w:r>
    </w:p>
    <w:p>
      <w:pPr>
        <w:pStyle w:val="10"/>
        <w:jc w:val="center"/>
        <w:rPr>
          <w:color w:val="auto"/>
          <w:sz w:val="56"/>
          <w:szCs w:val="56"/>
        </w:rPr>
      </w:pPr>
    </w:p>
    <w:p>
      <w:pPr>
        <w:pStyle w:val="10"/>
        <w:jc w:val="center"/>
        <w:rPr>
          <w:color w:val="auto"/>
          <w:sz w:val="56"/>
          <w:szCs w:val="56"/>
        </w:rPr>
      </w:pPr>
    </w:p>
    <w:p>
      <w:pPr>
        <w:pStyle w:val="10"/>
        <w:jc w:val="center"/>
        <w:rPr>
          <w:color w:val="auto"/>
          <w:sz w:val="84"/>
          <w:szCs w:val="84"/>
        </w:rPr>
      </w:pPr>
    </w:p>
    <w:p>
      <w:pPr>
        <w:pStyle w:val="10"/>
        <w:jc w:val="center"/>
        <w:rPr>
          <w:color w:val="auto"/>
          <w:sz w:val="84"/>
          <w:szCs w:val="84"/>
        </w:rPr>
      </w:pPr>
    </w:p>
    <w:p>
      <w:pPr>
        <w:pStyle w:val="10"/>
        <w:jc w:val="center"/>
        <w:rPr>
          <w:color w:val="auto"/>
          <w:sz w:val="84"/>
          <w:szCs w:val="84"/>
        </w:rPr>
      </w:pPr>
      <w:r>
        <w:rPr>
          <w:rFonts w:hint="eastAsia"/>
          <w:color w:val="auto"/>
          <w:sz w:val="84"/>
          <w:szCs w:val="84"/>
        </w:rPr>
        <w:t>第一部分</w:t>
      </w:r>
      <w:r>
        <w:rPr>
          <w:color w:val="auto"/>
          <w:sz w:val="84"/>
          <w:szCs w:val="84"/>
        </w:rPr>
        <w:t xml:space="preserve"> </w:t>
      </w:r>
    </w:p>
    <w:p>
      <w:pPr>
        <w:pStyle w:val="10"/>
        <w:jc w:val="center"/>
        <w:rPr>
          <w:color w:val="auto"/>
          <w:sz w:val="84"/>
          <w:szCs w:val="84"/>
        </w:rPr>
      </w:pPr>
    </w:p>
    <w:p>
      <w:pPr>
        <w:pStyle w:val="10"/>
        <w:jc w:val="center"/>
        <w:rPr>
          <w:color w:val="auto"/>
          <w:sz w:val="84"/>
          <w:szCs w:val="84"/>
        </w:rPr>
      </w:pPr>
      <w:r>
        <w:rPr>
          <w:rFonts w:hint="eastAsia"/>
          <w:color w:val="auto"/>
          <w:sz w:val="84"/>
          <w:szCs w:val="84"/>
        </w:rPr>
        <w:t>湖南省煤炭地质勘查院概况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ascii="黑体" w:hAnsi="黑体" w:eastAsia="黑体"/>
          <w:sz w:val="32"/>
          <w:szCs w:val="32"/>
        </w:rPr>
      </w:pPr>
      <w:r>
        <w:rPr>
          <w:rFonts w:ascii="黑体" w:hAnsi="黑体" w:eastAsia="黑体"/>
          <w:sz w:val="32"/>
          <w:szCs w:val="32"/>
        </w:rPr>
        <w:br w:type="page"/>
      </w: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（一）湖南省煤炭地质勘查院为湖南省地质院所属二级预算单位，单位性质为财政补助事业单位。</w:t>
      </w:r>
    </w:p>
    <w:p>
      <w:pPr>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（二）本单位主要从事煤炭勘查、非煤勘查、水工环勘查、气体矿产勘查、矿山设计、物探测井、测量工程、地质技术服务、工程咨询、地灾勘查施工、土地整理及土地规划评估等业务。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本单位设有党委行政办公室、总工程师办公室、劳动人事科、财务资产科、审计监察科、安全生产科、经营管理科、工会、团委共9个党政管理部门；设有能源勘查研究所、矿产勘查研究所、地质新能源勘查研究所、矿产资源评价所、测绘地理信息所、矿产设计研究所、水工环勘查研究所、水工环工程所、地球物理信息所、重大工程地质所、土地规划咨询所（不动产登记所）共11个业务工作部门。</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 xml:space="preserve">    （二）决算单位构成。湖南省煤炭地质勘查院</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21年部门决算汇总公开单位构成包括院本级，没有其他下属预算单位。</w:t>
      </w:r>
    </w:p>
    <w:p>
      <w:pPr>
        <w:jc w:val="left"/>
        <w:rPr>
          <w:rFonts w:ascii="仿宋_GB2312" w:eastAsia="仿宋_GB2312" w:hAnsiTheme="minorEastAsia"/>
          <w:sz w:val="28"/>
          <w:szCs w:val="32"/>
        </w:rPr>
      </w:pPr>
    </w:p>
    <w:p>
      <w:pPr>
        <w:rPr>
          <w:sz w:val="56"/>
          <w:szCs w:val="56"/>
        </w:rPr>
      </w:pPr>
      <w:r>
        <w:rPr>
          <w:sz w:val="56"/>
          <w:szCs w:val="56"/>
        </w:rPr>
        <w:br w:type="page"/>
      </w:r>
    </w:p>
    <w:p>
      <w:pPr>
        <w:pStyle w:val="10"/>
        <w:jc w:val="center"/>
        <w:rPr>
          <w:color w:val="auto"/>
          <w:sz w:val="56"/>
          <w:szCs w:val="56"/>
        </w:rPr>
      </w:pPr>
    </w:p>
    <w:p>
      <w:pPr>
        <w:pStyle w:val="10"/>
        <w:jc w:val="center"/>
        <w:rPr>
          <w:color w:val="auto"/>
          <w:sz w:val="84"/>
          <w:szCs w:val="84"/>
        </w:rPr>
      </w:pPr>
    </w:p>
    <w:p>
      <w:pPr>
        <w:pStyle w:val="10"/>
        <w:jc w:val="center"/>
        <w:rPr>
          <w:color w:val="auto"/>
          <w:sz w:val="84"/>
          <w:szCs w:val="84"/>
        </w:rPr>
      </w:pPr>
    </w:p>
    <w:p>
      <w:pPr>
        <w:jc w:val="center"/>
        <w:rPr>
          <w:rFonts w:ascii="黑体" w:eastAsia="黑体" w:cs="黑体"/>
          <w:kern w:val="0"/>
          <w:sz w:val="84"/>
          <w:szCs w:val="84"/>
        </w:rPr>
      </w:pPr>
      <w:r>
        <w:rPr>
          <w:rFonts w:hint="eastAsia" w:ascii="黑体" w:eastAsia="黑体" w:cs="黑体"/>
          <w:kern w:val="0"/>
          <w:sz w:val="84"/>
          <w:szCs w:val="84"/>
        </w:rPr>
        <w:t>第二部分</w:t>
      </w:r>
    </w:p>
    <w:p>
      <w:pPr>
        <w:spacing w:line="600" w:lineRule="exact"/>
        <w:jc w:val="center"/>
        <w:rPr>
          <w:rFonts w:ascii="黑体" w:eastAsia="黑体" w:cs="黑体"/>
          <w:kern w:val="0"/>
          <w:sz w:val="84"/>
          <w:szCs w:val="84"/>
        </w:rPr>
      </w:pPr>
    </w:p>
    <w:p>
      <w:pPr>
        <w:jc w:val="center"/>
        <w:rPr>
          <w:rFonts w:ascii="黑体" w:eastAsia="黑体" w:cs="黑体"/>
          <w:kern w:val="0"/>
          <w:sz w:val="84"/>
          <w:szCs w:val="84"/>
        </w:rPr>
      </w:pPr>
      <w:r>
        <w:rPr>
          <w:rFonts w:hint="eastAsia" w:ascii="黑体" w:eastAsia="黑体" w:cs="黑体"/>
          <w:kern w:val="0"/>
          <w:sz w:val="84"/>
          <w:szCs w:val="84"/>
        </w:rPr>
        <w:t>部门决算表</w:t>
      </w:r>
    </w:p>
    <w:p>
      <w:pPr>
        <w:jc w:val="center"/>
        <w:rPr>
          <w:sz w:val="72"/>
          <w:szCs w:val="72"/>
        </w:rPr>
      </w:pPr>
    </w:p>
    <w:p>
      <w:pPr>
        <w:jc w:val="center"/>
        <w:rPr>
          <w:sz w:val="72"/>
          <w:szCs w:val="72"/>
        </w:rPr>
      </w:pPr>
    </w:p>
    <w:p>
      <w:pPr>
        <w:jc w:val="center"/>
        <w:rPr>
          <w:sz w:val="72"/>
          <w:szCs w:val="72"/>
        </w:rPr>
      </w:pPr>
    </w:p>
    <w:p>
      <w:pPr>
        <w:rPr>
          <w:sz w:val="72"/>
          <w:szCs w:val="72"/>
        </w:rPr>
      </w:pPr>
    </w:p>
    <w:p>
      <w:pPr>
        <w:rPr>
          <w:sz w:val="72"/>
          <w:szCs w:val="72"/>
        </w:rPr>
        <w:sectPr>
          <w:pgSz w:w="11906" w:h="16838"/>
          <w:pgMar w:top="1417" w:right="1417" w:bottom="1417" w:left="1417" w:header="851" w:footer="992" w:gutter="0"/>
          <w:cols w:space="0" w:num="1"/>
          <w:docGrid w:type="lines" w:linePitch="312" w:charSpace="0"/>
        </w:sectPr>
      </w:pPr>
    </w:p>
    <w:tbl>
      <w:tblPr>
        <w:tblStyle w:val="5"/>
        <w:tblW w:w="13080" w:type="dxa"/>
        <w:tblInd w:w="93" w:type="dxa"/>
        <w:tblLayout w:type="autofit"/>
        <w:tblCellMar>
          <w:top w:w="0" w:type="dxa"/>
          <w:left w:w="108" w:type="dxa"/>
          <w:bottom w:w="0" w:type="dxa"/>
          <w:right w:w="108" w:type="dxa"/>
        </w:tblCellMar>
      </w:tblPr>
      <w:tblGrid>
        <w:gridCol w:w="4376"/>
        <w:gridCol w:w="768"/>
        <w:gridCol w:w="1155"/>
        <w:gridCol w:w="4119"/>
        <w:gridCol w:w="768"/>
        <w:gridCol w:w="1894"/>
      </w:tblGrid>
      <w:tr>
        <w:tblPrEx>
          <w:tblCellMar>
            <w:top w:w="0" w:type="dxa"/>
            <w:left w:w="108" w:type="dxa"/>
            <w:bottom w:w="0" w:type="dxa"/>
            <w:right w:w="108" w:type="dxa"/>
          </w:tblCellMar>
        </w:tblPrEx>
        <w:trPr>
          <w:trHeight w:val="603" w:hRule="atLeast"/>
        </w:trPr>
        <w:tc>
          <w:tcPr>
            <w:tcW w:w="13080" w:type="dxa"/>
            <w:gridSpan w:val="6"/>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部门：湖南省煤炭地质勘查院</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支出</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1,926.28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4,464.37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4,251.61</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1,289.36</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二十一、国有资本经营预算支出</w:t>
            </w:r>
          </w:p>
        </w:tc>
        <w:tc>
          <w:tcPr>
            <w:tcW w:w="0" w:type="auto"/>
            <w:tcBorders>
              <w:top w:val="nil"/>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二十二、灾害防治及应急管理支出</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r>
      <w:tr>
        <w:tblPrEx>
          <w:tblCellMar>
            <w:top w:w="0" w:type="dxa"/>
            <w:left w:w="108" w:type="dxa"/>
            <w:bottom w:w="0" w:type="dxa"/>
            <w:right w:w="108" w:type="dxa"/>
          </w:tblCellMar>
        </w:tblPrEx>
        <w:trPr>
          <w:trHeight w:val="311"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二十三、其他支出</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6,390.65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6,108.83</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217.06</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325.56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390.32</w:t>
            </w: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r>
      <w:tr>
        <w:tblPrEx>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6,716.21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6,716.21</w:t>
            </w:r>
          </w:p>
        </w:tc>
      </w:tr>
      <w:tr>
        <w:tblPrEx>
          <w:tblCellMar>
            <w:top w:w="0" w:type="dxa"/>
            <w:left w:w="108" w:type="dxa"/>
            <w:bottom w:w="0" w:type="dxa"/>
            <w:right w:w="108" w:type="dxa"/>
          </w:tblCellMar>
        </w:tblPrEx>
        <w:trPr>
          <w:trHeight w:val="311" w:hRule="atLeast"/>
        </w:trPr>
        <w:tc>
          <w:tcPr>
            <w:tcW w:w="0" w:type="auto"/>
            <w:gridSpan w:val="6"/>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注：1.本表反映部门本年度的总收支和年末结转结余情况。</w:t>
            </w:r>
          </w:p>
        </w:tc>
      </w:tr>
      <w:tr>
        <w:tblPrEx>
          <w:tblCellMar>
            <w:top w:w="0" w:type="dxa"/>
            <w:left w:w="108" w:type="dxa"/>
            <w:bottom w:w="0" w:type="dxa"/>
            <w:right w:w="108" w:type="dxa"/>
          </w:tblCellMar>
        </w:tblPrEx>
        <w:trPr>
          <w:trHeight w:val="302" w:hRule="atLeast"/>
        </w:trPr>
        <w:tc>
          <w:tcPr>
            <w:tcW w:w="0" w:type="auto"/>
            <w:gridSpan w:val="6"/>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2.本套报表金额单位转换时可能存在尾数误差。</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5"/>
        <w:tblW w:w="14325" w:type="dxa"/>
        <w:tblInd w:w="93" w:type="dxa"/>
        <w:tblLayout w:type="autofit"/>
        <w:tblCellMar>
          <w:top w:w="0" w:type="dxa"/>
          <w:left w:w="108" w:type="dxa"/>
          <w:bottom w:w="0" w:type="dxa"/>
          <w:right w:w="108" w:type="dxa"/>
        </w:tblCellMar>
      </w:tblPr>
      <w:tblGrid>
        <w:gridCol w:w="2816"/>
        <w:gridCol w:w="222"/>
        <w:gridCol w:w="222"/>
        <w:gridCol w:w="2790"/>
        <w:gridCol w:w="1453"/>
        <w:gridCol w:w="1466"/>
        <w:gridCol w:w="789"/>
        <w:gridCol w:w="760"/>
        <w:gridCol w:w="1410"/>
        <w:gridCol w:w="781"/>
        <w:gridCol w:w="1616"/>
      </w:tblGrid>
      <w:tr>
        <w:tblPrEx>
          <w:tblCellMar>
            <w:top w:w="0" w:type="dxa"/>
            <w:left w:w="108" w:type="dxa"/>
            <w:bottom w:w="0" w:type="dxa"/>
            <w:right w:w="108" w:type="dxa"/>
          </w:tblCellMar>
        </w:tblPrEx>
        <w:trPr>
          <w:trHeight w:val="390" w:hRule="atLeast"/>
        </w:trPr>
        <w:tc>
          <w:tcPr>
            <w:tcW w:w="14325" w:type="dxa"/>
            <w:gridSpan w:val="11"/>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收入决算表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部门：湖南省煤炭地质勘查院</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60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139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141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51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13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6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6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6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60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9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1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1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8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6,390.65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1,926.28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4,464.37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进修及培训</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2050803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培训支出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其他科学技术支出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2069901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科技奖励</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事业单位离退休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6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2080505</w:t>
            </w:r>
          </w:p>
        </w:tc>
        <w:tc>
          <w:tcPr>
            <w:tcW w:w="279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机关事业单位基本养老</w:t>
            </w:r>
          </w:p>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保险缴费支出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171.87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171.87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事业单位医疗</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4,468.67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4,464.37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资源勘探开发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4,468.67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4,464.37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2150199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其他资源勘探业支出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4,468.67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4,464.37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w:t>
            </w:r>
          </w:p>
        </w:tc>
        <w:tc>
          <w:tcPr>
            <w:tcW w:w="0" w:type="auto"/>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自然资源海洋气象等支出</w:t>
            </w:r>
          </w:p>
        </w:tc>
        <w:tc>
          <w:tcPr>
            <w:tcW w:w="0" w:type="auto"/>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1,325.07</w:t>
            </w:r>
          </w:p>
        </w:tc>
        <w:tc>
          <w:tcPr>
            <w:tcW w:w="0" w:type="auto"/>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1,325.07</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自然资源事务</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1,325.07</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1,325.07</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2200104</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自然资源规划及管理</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190.00</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190.00</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自然资源社会公益服务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自然资源行业业务管理</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自然资源调查与确权登记</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地质矿产资源与环境调查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80.01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80.01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地质勘查与矿产资源管理</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事业运行</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880.06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880.06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自然灾害防治</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2240601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地质灾害防治</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注：本表反映部门本年度取得的各项收入情况。</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5"/>
        <w:tblW w:w="13845" w:type="dxa"/>
        <w:tblInd w:w="93" w:type="dxa"/>
        <w:tblLayout w:type="autofit"/>
        <w:tblCellMar>
          <w:top w:w="0" w:type="dxa"/>
          <w:left w:w="108" w:type="dxa"/>
          <w:bottom w:w="0" w:type="dxa"/>
          <w:right w:w="108" w:type="dxa"/>
        </w:tblCellMar>
      </w:tblPr>
      <w:tblGrid>
        <w:gridCol w:w="2816"/>
        <w:gridCol w:w="222"/>
        <w:gridCol w:w="222"/>
        <w:gridCol w:w="3000"/>
        <w:gridCol w:w="1317"/>
        <w:gridCol w:w="1330"/>
        <w:gridCol w:w="1131"/>
        <w:gridCol w:w="690"/>
        <w:gridCol w:w="1317"/>
        <w:gridCol w:w="1800"/>
      </w:tblGrid>
      <w:tr>
        <w:tblPrEx>
          <w:tblCellMar>
            <w:top w:w="0" w:type="dxa"/>
            <w:left w:w="108" w:type="dxa"/>
            <w:bottom w:w="0" w:type="dxa"/>
            <w:right w:w="108" w:type="dxa"/>
          </w:tblCellMar>
        </w:tblPrEx>
        <w:trPr>
          <w:trHeight w:val="390" w:hRule="atLeast"/>
        </w:trPr>
        <w:tc>
          <w:tcPr>
            <w:tcW w:w="13845"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部门：湖南省煤炭地质勘查院</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69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9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59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9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9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59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59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80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6,108.83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1,266.77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594.75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4,247.31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进修及培训</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2050803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培训支出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其他科学技术支出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2069901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科技奖励</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事业单位离退休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6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2080505</w:t>
            </w:r>
          </w:p>
        </w:tc>
        <w:tc>
          <w:tcPr>
            <w:tcW w:w="3000"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机关事业单位基本养老</w:t>
            </w:r>
          </w:p>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保险缴费支出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171.87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171.87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事业单位医疗</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4,251.61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4,247.31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21501</w:t>
            </w:r>
          </w:p>
        </w:tc>
        <w:tc>
          <w:tcPr>
            <w:tcW w:w="0" w:type="auto"/>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资源勘探开发</w:t>
            </w:r>
          </w:p>
        </w:tc>
        <w:tc>
          <w:tcPr>
            <w:tcW w:w="0" w:type="auto"/>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4,251.61</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4,247.31</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2150199</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其他资源勘探业支出</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4,251.61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4,247.31</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自然资源海洋气象等支出</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1,289.36</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409.50</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自然资源事务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1,289.36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409.50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自然资源规划及管理</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自然资源社会公益服务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自然资源行业业务管理</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自然资源调查与确权登记</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地质矿产资源与环境调查</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53.18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53.18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地质勘查与矿产资源管理</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事业运行</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住房公积金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自然灾害防治</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2240601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地质灾害防治</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注：本表反映部门本年度各项支出情况。</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5"/>
        <w:tblW w:w="14595" w:type="dxa"/>
        <w:tblInd w:w="93" w:type="dxa"/>
        <w:tblLayout w:type="autofit"/>
        <w:tblCellMar>
          <w:top w:w="0" w:type="dxa"/>
          <w:left w:w="108" w:type="dxa"/>
          <w:bottom w:w="0" w:type="dxa"/>
          <w:right w:w="108" w:type="dxa"/>
        </w:tblCellMar>
      </w:tblPr>
      <w:tblGrid>
        <w:gridCol w:w="3350"/>
        <w:gridCol w:w="544"/>
        <w:gridCol w:w="1214"/>
        <w:gridCol w:w="3840"/>
        <w:gridCol w:w="544"/>
        <w:gridCol w:w="1066"/>
        <w:gridCol w:w="1158"/>
        <w:gridCol w:w="1104"/>
        <w:gridCol w:w="1775"/>
      </w:tblGrid>
      <w:tr>
        <w:tblPrEx>
          <w:tblCellMar>
            <w:top w:w="0" w:type="dxa"/>
            <w:left w:w="108" w:type="dxa"/>
            <w:bottom w:w="0" w:type="dxa"/>
            <w:right w:w="108" w:type="dxa"/>
          </w:tblCellMar>
        </w:tblPrEx>
        <w:trPr>
          <w:trHeight w:val="390" w:hRule="atLeast"/>
        </w:trPr>
        <w:tc>
          <w:tcPr>
            <w:tcW w:w="14595"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部门：湖南省煤炭地质勘查院</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1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126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35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5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一般公共预算财政拨款</w:t>
            </w:r>
          </w:p>
        </w:tc>
        <w:tc>
          <w:tcPr>
            <w:tcW w:w="160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政府性基金预算财政拨款</w:t>
            </w:r>
          </w:p>
        </w:tc>
        <w:tc>
          <w:tcPr>
            <w:tcW w:w="16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1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7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5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7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15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0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1,926.28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1,268.26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1,268.26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十九、住房保障支出</w:t>
            </w:r>
          </w:p>
        </w:tc>
        <w:tc>
          <w:tcPr>
            <w:tcW w:w="0" w:type="auto"/>
            <w:tcBorders>
              <w:top w:val="nil"/>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0" w:type="auto"/>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二十、粮油物资储备支出</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二十一、国有资本经营预算支出</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1,926.28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1,840.42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1,840.42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122.30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208.16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122.30</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2,048.58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2,048.58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2,048.58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注：本表反映部门本年度一般公共预算财政拨款、政府性基金预算财政拨款和国有资本经营预算财政拨款的总收支和年末结转结余情况。</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5"/>
        <w:tblW w:w="13721" w:type="dxa"/>
        <w:tblInd w:w="93" w:type="dxa"/>
        <w:tblLayout w:type="fixed"/>
        <w:tblCellMar>
          <w:top w:w="0" w:type="dxa"/>
          <w:left w:w="108" w:type="dxa"/>
          <w:bottom w:w="0" w:type="dxa"/>
          <w:right w:w="108" w:type="dxa"/>
        </w:tblCellMar>
      </w:tblPr>
      <w:tblGrid>
        <w:gridCol w:w="2810"/>
        <w:gridCol w:w="236"/>
        <w:gridCol w:w="236"/>
        <w:gridCol w:w="4096"/>
        <w:gridCol w:w="1927"/>
        <w:gridCol w:w="2153"/>
        <w:gridCol w:w="2263"/>
      </w:tblGrid>
      <w:tr>
        <w:tblPrEx>
          <w:tblCellMar>
            <w:top w:w="0" w:type="dxa"/>
            <w:left w:w="108" w:type="dxa"/>
            <w:bottom w:w="0" w:type="dxa"/>
            <w:right w:w="108" w:type="dxa"/>
          </w:tblCellMar>
        </w:tblPrEx>
        <w:trPr>
          <w:trHeight w:val="390" w:hRule="atLeast"/>
        </w:trPr>
        <w:tc>
          <w:tcPr>
            <w:tcW w:w="13721" w:type="dxa"/>
            <w:gridSpan w:val="7"/>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0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5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部门：湖南省煤炭地质勘查院</w:t>
            </w: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0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5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3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635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32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4105"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93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215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226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05"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93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15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6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05"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93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15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6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7365"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7365"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1,840.42</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1,266.77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573.65</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教育支出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进修及培训</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2050803</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培训支出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科学技术支出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20699</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其他科学技术支出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2069901</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科技奖励</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社会保障和就业支出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行政事业单位养老支出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178.37</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2080502</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事业单位离退休</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6.50</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2080505</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机关事业单位基本养老保险缴费支出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171.87</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171.87</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2101102</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事业单位医疗</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资源勘探工业信息等支出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21501</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资源勘探开发</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2150199</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其他资源勘探业支出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自然资源海洋气象等支出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1,268.26</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388.40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w:t>
            </w:r>
          </w:p>
        </w:tc>
        <w:tc>
          <w:tcPr>
            <w:tcW w:w="4105" w:type="dxa"/>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自然资源事务</w:t>
            </w:r>
          </w:p>
        </w:tc>
        <w:tc>
          <w:tcPr>
            <w:tcW w:w="1931" w:type="dxa"/>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1,268.26</w:t>
            </w:r>
          </w:p>
        </w:tc>
        <w:tc>
          <w:tcPr>
            <w:tcW w:w="2157" w:type="dxa"/>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2268" w:type="dxa"/>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388.40</w:t>
            </w:r>
          </w:p>
        </w:tc>
      </w:tr>
      <w:tr>
        <w:tblPrEx>
          <w:tblCellMar>
            <w:top w:w="0" w:type="dxa"/>
            <w:left w:w="108" w:type="dxa"/>
            <w:bottom w:w="0" w:type="dxa"/>
            <w:right w:w="108" w:type="dxa"/>
          </w:tblCellMar>
        </w:tblPrEx>
        <w:trPr>
          <w:trHeight w:val="308" w:hRule="atLeast"/>
        </w:trPr>
        <w:tc>
          <w:tcPr>
            <w:tcW w:w="32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2200104</w:t>
            </w:r>
          </w:p>
        </w:tc>
        <w:tc>
          <w:tcPr>
            <w:tcW w:w="4105" w:type="dxa"/>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自然资源规划及管理</w:t>
            </w:r>
          </w:p>
        </w:tc>
        <w:tc>
          <w:tcPr>
            <w:tcW w:w="1931" w:type="dxa"/>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192.30</w:t>
            </w:r>
          </w:p>
        </w:tc>
        <w:tc>
          <w:tcPr>
            <w:tcW w:w="2157"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192.30</w:t>
            </w:r>
          </w:p>
        </w:tc>
      </w:tr>
      <w:tr>
        <w:tblPrEx>
          <w:tblCellMar>
            <w:top w:w="0" w:type="dxa"/>
            <w:left w:w="108" w:type="dxa"/>
            <w:bottom w:w="0" w:type="dxa"/>
            <w:right w:w="108" w:type="dxa"/>
          </w:tblCellMar>
        </w:tblPrEx>
        <w:trPr>
          <w:trHeight w:val="308" w:hRule="atLeast"/>
        </w:trPr>
        <w:tc>
          <w:tcPr>
            <w:tcW w:w="3260"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2200107</w:t>
            </w:r>
          </w:p>
        </w:tc>
        <w:tc>
          <w:tcPr>
            <w:tcW w:w="4105" w:type="dxa"/>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自然资源社会公益服务</w:t>
            </w:r>
          </w:p>
        </w:tc>
        <w:tc>
          <w:tcPr>
            <w:tcW w:w="1931"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4.02</w:t>
            </w:r>
          </w:p>
        </w:tc>
        <w:tc>
          <w:tcPr>
            <w:tcW w:w="2157"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4.02</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2200108</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自然资源行业业务管理</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2200109</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自然资源调查与确权登记</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60.00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60.00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2200113</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地质矿产资源与环境调查</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32.08</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32.08</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2200114</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地质勘查与矿产资源管理</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55.00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2200150</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事业运行</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879.86</w:t>
            </w:r>
          </w:p>
        </w:tc>
        <w:tc>
          <w:tcPr>
            <w:tcW w:w="226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2200199</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其他自然资源事务支出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4105" w:type="dxa"/>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1931" w:type="dxa"/>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2157" w:type="dxa"/>
            <w:tcBorders>
              <w:top w:val="nil"/>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2268" w:type="dxa"/>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jc w:val="left"/>
              <w:rPr>
                <w:rFonts w:ascii="宋体" w:hAnsi="宋体" w:eastAsia="宋体" w:cs="宋体"/>
                <w:color w:val="000000"/>
                <w:sz w:val="22"/>
              </w:rPr>
            </w:pPr>
            <w:r>
              <w:rPr>
                <w:rFonts w:hint="eastAsia" w:ascii="宋体" w:hAnsi="宋体" w:eastAsia="宋体" w:cs="宋体"/>
                <w:color w:val="000000"/>
                <w:kern w:val="0"/>
                <w:sz w:val="22"/>
                <w:lang w:bidi="ar"/>
              </w:rPr>
              <w:t>22102</w:t>
            </w:r>
          </w:p>
        </w:tc>
        <w:tc>
          <w:tcPr>
            <w:tcW w:w="4105" w:type="dxa"/>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1931" w:type="dxa"/>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2157" w:type="dxa"/>
            <w:tcBorders>
              <w:top w:val="single" w:color="auto" w:sz="4" w:space="0"/>
              <w:left w:val="nil"/>
              <w:bottom w:val="single" w:color="auto"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jc w:val="left"/>
              <w:rPr>
                <w:rFonts w:ascii="宋体" w:hAnsi="宋体" w:eastAsia="宋体" w:cs="宋体"/>
                <w:color w:val="000000"/>
                <w:sz w:val="22"/>
              </w:rPr>
            </w:pPr>
            <w:r>
              <w:rPr>
                <w:rFonts w:hint="eastAsia" w:ascii="宋体" w:hAnsi="宋体" w:eastAsia="宋体" w:cs="宋体"/>
                <w:color w:val="000000"/>
                <w:kern w:val="0"/>
                <w:sz w:val="22"/>
                <w:lang w:bidi="ar"/>
              </w:rPr>
              <w:t>2210201</w:t>
            </w:r>
          </w:p>
        </w:tc>
        <w:tc>
          <w:tcPr>
            <w:tcW w:w="4105" w:type="dxa"/>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住房公积金</w:t>
            </w:r>
          </w:p>
        </w:tc>
        <w:tc>
          <w:tcPr>
            <w:tcW w:w="1931"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2157"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226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灾害防治及应急管理支出</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22406</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自然灾害防治</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r>
      <w:tr>
        <w:tblPrEx>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2240601</w:t>
            </w:r>
          </w:p>
        </w:tc>
        <w:tc>
          <w:tcPr>
            <w:tcW w:w="410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地质灾害防治</w:t>
            </w:r>
          </w:p>
        </w:tc>
        <w:tc>
          <w:tcPr>
            <w:tcW w:w="193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c>
          <w:tcPr>
            <w:tcW w:w="215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226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170.95</w:t>
            </w:r>
          </w:p>
        </w:tc>
      </w:tr>
      <w:tr>
        <w:tblPrEx>
          <w:tblCellMar>
            <w:top w:w="0" w:type="dxa"/>
            <w:left w:w="108" w:type="dxa"/>
            <w:bottom w:w="0" w:type="dxa"/>
            <w:right w:w="108" w:type="dxa"/>
          </w:tblCellMar>
        </w:tblPrEx>
        <w:trPr>
          <w:trHeight w:val="308" w:hRule="atLeast"/>
        </w:trPr>
        <w:tc>
          <w:tcPr>
            <w:tcW w:w="13721" w:type="dxa"/>
            <w:gridSpan w:val="7"/>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注：本表反映部门本年度一般公共预算财政拨款支出情况。</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5"/>
        <w:tblW w:w="14809" w:type="dxa"/>
        <w:tblInd w:w="93" w:type="dxa"/>
        <w:tblLayout w:type="fixed"/>
        <w:tblCellMar>
          <w:top w:w="0" w:type="dxa"/>
          <w:left w:w="108" w:type="dxa"/>
          <w:bottom w:w="0" w:type="dxa"/>
          <w:right w:w="108" w:type="dxa"/>
        </w:tblCellMar>
      </w:tblPr>
      <w:tblGrid>
        <w:gridCol w:w="1103"/>
        <w:gridCol w:w="2493"/>
        <w:gridCol w:w="1275"/>
        <w:gridCol w:w="1107"/>
        <w:gridCol w:w="2268"/>
        <w:gridCol w:w="1294"/>
        <w:gridCol w:w="1238"/>
        <w:gridCol w:w="2325"/>
        <w:gridCol w:w="1706"/>
      </w:tblGrid>
      <w:tr>
        <w:tblPrEx>
          <w:tblCellMar>
            <w:top w:w="0" w:type="dxa"/>
            <w:left w:w="108" w:type="dxa"/>
            <w:bottom w:w="0" w:type="dxa"/>
            <w:right w:w="108" w:type="dxa"/>
          </w:tblCellMar>
        </w:tblPrEx>
        <w:trPr>
          <w:trHeight w:val="390" w:hRule="atLeast"/>
        </w:trPr>
        <w:tc>
          <w:tcPr>
            <w:tcW w:w="14809"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一般公共预算财政拨款基本支出决算明细表</w:t>
            </w:r>
          </w:p>
        </w:tc>
      </w:tr>
      <w:tr>
        <w:tblPrEx>
          <w:tblCellMar>
            <w:top w:w="0" w:type="dxa"/>
            <w:left w:w="108" w:type="dxa"/>
            <w:bottom w:w="0" w:type="dxa"/>
            <w:right w:w="108" w:type="dxa"/>
          </w:tblCellMar>
        </w:tblPrEx>
        <w:trPr>
          <w:trHeight w:val="255" w:hRule="atLeast"/>
        </w:trPr>
        <w:tc>
          <w:tcPr>
            <w:tcW w:w="110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06"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255" w:hRule="atLeast"/>
        </w:trPr>
        <w:tc>
          <w:tcPr>
            <w:tcW w:w="359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部门：湖南省煤炭地质勘查院</w:t>
            </w:r>
          </w:p>
        </w:tc>
        <w:tc>
          <w:tcPr>
            <w:tcW w:w="12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06"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8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w:t>
            </w:r>
          </w:p>
        </w:tc>
        <w:tc>
          <w:tcPr>
            <w:tcW w:w="9938"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110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24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27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1107"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226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294"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1238"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23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70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110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4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07"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6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9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38"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3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70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工资福利支出</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1,040.33</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商品和服务支出</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219.94</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307</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债务利息及费用支出</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30101</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基本工资</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363.55</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30201</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办公费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9.80</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30701</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国内债务付息</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30102</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津贴补贴</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38.46</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30202</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印刷费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10.70</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30702</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国外债务付息</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30103</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奖金</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30203</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咨询费</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资本性支出</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30106</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伙食补助费</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30204</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手续费</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31001</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房屋建筑物购建</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30107</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绩效工资</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259.91</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30205</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水费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0.50</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31002</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办公设备购置</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660"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30108</w:t>
            </w:r>
          </w:p>
        </w:tc>
        <w:tc>
          <w:tcPr>
            <w:tcW w:w="2493"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机关事业单位基本</w:t>
            </w:r>
          </w:p>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养老保险缴费</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147.78</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电费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9.50</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31003</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专用设备购置</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30109</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职业年金缴费</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邮电费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0.24</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31005</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基础设施建设</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30110</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职工基本医疗保险缴费</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81.91</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30208</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取暖费</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31006</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大型修缮</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30111</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公务员医疗补助缴费</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30209</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物业管理费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27.90</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31007</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信息网络及软件购置更新</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30112</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其他社会保障缴费</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24.09</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30211</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差旅费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6.14</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31008</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物资储备</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30113</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住房公积金</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124.63</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30212</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因公出国（境）费用</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31009</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土地补偿</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30114</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医疗费</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30213</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维修（护）费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6.52</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31010</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安置补助</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30199</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其他工资福利支出</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30214</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租赁费</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31011</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地上附着物和青苗补偿</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对个人和家庭的补助</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6.50</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30215</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会议费</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31012</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拆迁补偿</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30301</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离休费</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培训费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2.00</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31013</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30302</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退休费</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4.32</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31019</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其他交通工具购置</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30303</w:t>
            </w:r>
          </w:p>
        </w:tc>
        <w:tc>
          <w:tcPr>
            <w:tcW w:w="2493" w:type="dxa"/>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退职（役）费</w:t>
            </w:r>
          </w:p>
        </w:tc>
        <w:tc>
          <w:tcPr>
            <w:tcW w:w="1275" w:type="dxa"/>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30218</w:t>
            </w:r>
          </w:p>
        </w:tc>
        <w:tc>
          <w:tcPr>
            <w:tcW w:w="2268" w:type="dxa"/>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专用材料费</w:t>
            </w:r>
          </w:p>
        </w:tc>
        <w:tc>
          <w:tcPr>
            <w:tcW w:w="1294" w:type="dxa"/>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31021</w:t>
            </w:r>
          </w:p>
        </w:tc>
        <w:tc>
          <w:tcPr>
            <w:tcW w:w="2325" w:type="dxa"/>
            <w:tcBorders>
              <w:top w:val="nil"/>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文物和陈列品购置</w:t>
            </w:r>
          </w:p>
        </w:tc>
        <w:tc>
          <w:tcPr>
            <w:tcW w:w="1706" w:type="dxa"/>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30304</w:t>
            </w:r>
          </w:p>
        </w:tc>
        <w:tc>
          <w:tcPr>
            <w:tcW w:w="2493" w:type="dxa"/>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抚恤金</w:t>
            </w:r>
          </w:p>
        </w:tc>
        <w:tc>
          <w:tcPr>
            <w:tcW w:w="1275"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30224</w:t>
            </w:r>
          </w:p>
        </w:tc>
        <w:tc>
          <w:tcPr>
            <w:tcW w:w="2268" w:type="dxa"/>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被装购置费</w:t>
            </w:r>
          </w:p>
        </w:tc>
        <w:tc>
          <w:tcPr>
            <w:tcW w:w="1294"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31022</w:t>
            </w:r>
          </w:p>
        </w:tc>
        <w:tc>
          <w:tcPr>
            <w:tcW w:w="2325" w:type="dxa"/>
            <w:tcBorders>
              <w:top w:val="single" w:color="auto" w:sz="4" w:space="0"/>
              <w:left w:val="nil"/>
              <w:bottom w:val="single" w:color="auto"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无形资产购置</w:t>
            </w:r>
          </w:p>
        </w:tc>
        <w:tc>
          <w:tcPr>
            <w:tcW w:w="1706"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30305</w:t>
            </w:r>
          </w:p>
        </w:tc>
        <w:tc>
          <w:tcPr>
            <w:tcW w:w="2493" w:type="dxa"/>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生活补助</w:t>
            </w:r>
          </w:p>
        </w:tc>
        <w:tc>
          <w:tcPr>
            <w:tcW w:w="1275"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30225</w:t>
            </w:r>
          </w:p>
        </w:tc>
        <w:tc>
          <w:tcPr>
            <w:tcW w:w="2268" w:type="dxa"/>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专用燃料费</w:t>
            </w:r>
          </w:p>
        </w:tc>
        <w:tc>
          <w:tcPr>
            <w:tcW w:w="1294"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31099</w:t>
            </w:r>
          </w:p>
        </w:tc>
        <w:tc>
          <w:tcPr>
            <w:tcW w:w="2325" w:type="dxa"/>
            <w:tcBorders>
              <w:top w:val="single" w:color="auto"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其他资本性支出</w:t>
            </w:r>
          </w:p>
        </w:tc>
        <w:tc>
          <w:tcPr>
            <w:tcW w:w="1706"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30306</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救济费</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30226</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劳务费</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399</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其他支出</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30307</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医疗费补助</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30227</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委托业务费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6.35</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39906</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赠与</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30308</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助学金</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30228</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工会经费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13.68</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39907</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国家赔偿费用支出</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700"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30309</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奖励金</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1.06</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30229</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福利费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73.92</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39908</w:t>
            </w:r>
          </w:p>
        </w:tc>
        <w:tc>
          <w:tcPr>
            <w:tcW w:w="232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对民间非营利组织和群众性自治组织补贴</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30310</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个人农业生产补贴</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30231</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公务用车运行维护费</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w:t>
            </w:r>
          </w:p>
        </w:tc>
        <w:tc>
          <w:tcPr>
            <w:tcW w:w="123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39999</w:t>
            </w:r>
          </w:p>
        </w:tc>
        <w:tc>
          <w:tcPr>
            <w:tcW w:w="2325"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其他支出</w:t>
            </w: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30311</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代缴社会保险费</w:t>
            </w: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30239</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其他交通费用</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2325"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30399</w:t>
            </w:r>
          </w:p>
        </w:tc>
        <w:tc>
          <w:tcPr>
            <w:tcW w:w="2493"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其他对个人和家庭的补助</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1.12</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30240</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税金及附加费用</w:t>
            </w:r>
          </w:p>
        </w:tc>
        <w:tc>
          <w:tcPr>
            <w:tcW w:w="12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2325"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10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2493"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7"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30299</w:t>
            </w:r>
          </w:p>
        </w:tc>
        <w:tc>
          <w:tcPr>
            <w:tcW w:w="2268" w:type="dxa"/>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其他商品和服务支出</w:t>
            </w:r>
          </w:p>
        </w:tc>
        <w:tc>
          <w:tcPr>
            <w:tcW w:w="1294"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48.20</w:t>
            </w:r>
          </w:p>
        </w:tc>
        <w:tc>
          <w:tcPr>
            <w:tcW w:w="1238"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2325"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170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359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人员经费合计</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1,046.83</w:t>
            </w:r>
          </w:p>
        </w:tc>
        <w:tc>
          <w:tcPr>
            <w:tcW w:w="8232" w:type="dxa"/>
            <w:gridSpan w:val="5"/>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公用经费合计</w:t>
            </w:r>
          </w:p>
        </w:tc>
        <w:tc>
          <w:tcPr>
            <w:tcW w:w="17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219.94</w:t>
            </w:r>
          </w:p>
        </w:tc>
      </w:tr>
      <w:tr>
        <w:tblPrEx>
          <w:tblCellMar>
            <w:top w:w="0" w:type="dxa"/>
            <w:left w:w="108" w:type="dxa"/>
            <w:bottom w:w="0" w:type="dxa"/>
            <w:right w:w="108" w:type="dxa"/>
          </w:tblCellMar>
        </w:tblPrEx>
        <w:trPr>
          <w:trHeight w:val="308" w:hRule="atLeast"/>
        </w:trPr>
        <w:tc>
          <w:tcPr>
            <w:tcW w:w="14809" w:type="dxa"/>
            <w:gridSpan w:val="9"/>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注：本表反映部门本年度一般公共预算财政拨款基本支出明细情况。</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5"/>
        <w:tblW w:w="13853" w:type="dxa"/>
        <w:tblInd w:w="93" w:type="dxa"/>
        <w:tblLayout w:type="fixed"/>
        <w:tblCellMar>
          <w:top w:w="0" w:type="dxa"/>
          <w:left w:w="108" w:type="dxa"/>
          <w:bottom w:w="0" w:type="dxa"/>
          <w:right w:w="108" w:type="dxa"/>
        </w:tblCellMar>
      </w:tblPr>
      <w:tblGrid>
        <w:gridCol w:w="1740"/>
        <w:gridCol w:w="1181"/>
        <w:gridCol w:w="900"/>
        <w:gridCol w:w="1369"/>
        <w:gridCol w:w="1238"/>
        <w:gridCol w:w="881"/>
        <w:gridCol w:w="656"/>
        <w:gridCol w:w="1144"/>
        <w:gridCol w:w="769"/>
        <w:gridCol w:w="1125"/>
        <w:gridCol w:w="1106"/>
        <w:gridCol w:w="1744"/>
      </w:tblGrid>
      <w:tr>
        <w:tblPrEx>
          <w:tblCellMar>
            <w:top w:w="0" w:type="dxa"/>
            <w:left w:w="108" w:type="dxa"/>
            <w:bottom w:w="0" w:type="dxa"/>
            <w:right w:w="108" w:type="dxa"/>
          </w:tblCellMar>
        </w:tblPrEx>
        <w:trPr>
          <w:trHeight w:val="390" w:hRule="atLeast"/>
        </w:trPr>
        <w:tc>
          <w:tcPr>
            <w:tcW w:w="13853" w:type="dxa"/>
            <w:gridSpan w:val="12"/>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一般公共预算财政拨款“三公”经费支出决算表</w:t>
            </w:r>
          </w:p>
        </w:tc>
      </w:tr>
      <w:tr>
        <w:tblPrEx>
          <w:tblCellMar>
            <w:top w:w="0" w:type="dxa"/>
            <w:left w:w="108" w:type="dxa"/>
            <w:bottom w:w="0" w:type="dxa"/>
            <w:right w:w="108" w:type="dxa"/>
          </w:tblCellMar>
        </w:tblPrEx>
        <w:trPr>
          <w:trHeight w:val="255" w:hRule="atLeast"/>
        </w:trPr>
        <w:tc>
          <w:tcPr>
            <w:tcW w:w="17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8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8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5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0"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549" w:hRule="atLeast"/>
        </w:trPr>
        <w:tc>
          <w:tcPr>
            <w:tcW w:w="2921"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部门：湖南省煤炭地质勘查院</w:t>
            </w:r>
          </w:p>
        </w:tc>
        <w:tc>
          <w:tcPr>
            <w:tcW w:w="9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8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5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0"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3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654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17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8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507"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88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65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44"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000"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744"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174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0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36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23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88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5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4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1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10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74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18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6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3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88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14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76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1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10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74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4.70</w:t>
            </w:r>
          </w:p>
        </w:tc>
        <w:tc>
          <w:tcPr>
            <w:tcW w:w="11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w:t>
            </w:r>
          </w:p>
        </w:tc>
        <w:tc>
          <w:tcPr>
            <w:tcW w:w="136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238"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w:t>
            </w:r>
          </w:p>
        </w:tc>
        <w:tc>
          <w:tcPr>
            <w:tcW w:w="881"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0.2</w:t>
            </w:r>
          </w:p>
        </w:tc>
        <w:tc>
          <w:tcPr>
            <w:tcW w:w="65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w:t>
            </w:r>
          </w:p>
        </w:tc>
        <w:tc>
          <w:tcPr>
            <w:tcW w:w="114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w:t>
            </w:r>
          </w:p>
        </w:tc>
        <w:tc>
          <w:tcPr>
            <w:tcW w:w="11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4.50</w:t>
            </w:r>
          </w:p>
        </w:tc>
        <w:tc>
          <w:tcPr>
            <w:tcW w:w="174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615" w:hRule="atLeast"/>
        </w:trPr>
        <w:tc>
          <w:tcPr>
            <w:tcW w:w="13853" w:type="dxa"/>
            <w:gridSpan w:val="1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5"/>
        <w:tblW w:w="15000" w:type="dxa"/>
        <w:jc w:val="center"/>
        <w:tblLayout w:type="autofit"/>
        <w:tblCellMar>
          <w:top w:w="0" w:type="dxa"/>
          <w:left w:w="108" w:type="dxa"/>
          <w:bottom w:w="0" w:type="dxa"/>
          <w:right w:w="108" w:type="dxa"/>
        </w:tblCellMar>
      </w:tblPr>
      <w:tblGrid>
        <w:gridCol w:w="3702"/>
        <w:gridCol w:w="292"/>
        <w:gridCol w:w="292"/>
        <w:gridCol w:w="1441"/>
        <w:gridCol w:w="1367"/>
        <w:gridCol w:w="1367"/>
        <w:gridCol w:w="1367"/>
        <w:gridCol w:w="1367"/>
        <w:gridCol w:w="1367"/>
        <w:gridCol w:w="2438"/>
      </w:tblGrid>
      <w:tr>
        <w:tblPrEx>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部门：湖南省煤炭地质勘查院</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47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147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w:t>
            </w:r>
          </w:p>
        </w:tc>
        <w:tc>
          <w:tcPr>
            <w:tcW w:w="443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c>
          <w:tcPr>
            <w:tcW w:w="208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jc w:val="center"/>
        </w:trPr>
        <w:tc>
          <w:tcPr>
            <w:tcW w:w="412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4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47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479"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208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jc w:val="center"/>
        </w:trPr>
        <w:tc>
          <w:tcPr>
            <w:tcW w:w="412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08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12" w:hRule="atLeast"/>
          <w:jc w:val="center"/>
        </w:trPr>
        <w:tc>
          <w:tcPr>
            <w:tcW w:w="412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79"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08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val="0"/>
                <w:bCs w:val="0"/>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注：本表反映部门本年度政府性基金预算财政拨款收入、支出及结转和结余情况。</w:t>
            </w:r>
          </w:p>
          <w:p>
            <w:pPr>
              <w:widowControl/>
              <w:ind w:firstLine="440" w:firstLineChars="200"/>
              <w:jc w:val="left"/>
              <w:textAlignment w:val="center"/>
              <w:rPr>
                <w:rFonts w:ascii="宋体" w:hAnsi="宋体" w:eastAsia="宋体" w:cs="宋体"/>
                <w:color w:val="000000"/>
                <w:sz w:val="22"/>
              </w:rPr>
            </w:pPr>
            <w:r>
              <w:rPr>
                <w:rFonts w:hint="eastAsia" w:ascii="宋体" w:hAnsi="宋体" w:eastAsia="宋体" w:cs="宋体"/>
                <w:color w:val="000000"/>
                <w:kern w:val="0"/>
                <w:sz w:val="22"/>
                <w:lang w:eastAsia="zh-CN" w:bidi="ar"/>
              </w:rPr>
              <w:t>我单位</w:t>
            </w:r>
            <w:r>
              <w:rPr>
                <w:rFonts w:hint="eastAsia" w:ascii="宋体" w:hAnsi="宋体" w:eastAsia="宋体" w:cs="宋体"/>
                <w:color w:val="000000"/>
                <w:kern w:val="0"/>
                <w:sz w:val="22"/>
                <w:lang w:bidi="ar"/>
              </w:rPr>
              <w:t>本年度</w:t>
            </w:r>
            <w:r>
              <w:rPr>
                <w:rFonts w:hint="eastAsia" w:ascii="宋体" w:hAnsi="宋体" w:eastAsia="宋体" w:cs="宋体"/>
                <w:color w:val="000000"/>
                <w:kern w:val="0"/>
                <w:sz w:val="22"/>
                <w:lang w:eastAsia="zh-CN" w:bidi="ar"/>
              </w:rPr>
              <w:t>无</w:t>
            </w:r>
            <w:r>
              <w:rPr>
                <w:rFonts w:hint="eastAsia" w:ascii="宋体" w:hAnsi="宋体" w:eastAsia="宋体" w:cs="宋体"/>
                <w:color w:val="000000"/>
                <w:kern w:val="0"/>
                <w:sz w:val="22"/>
                <w:lang w:bidi="ar"/>
              </w:rPr>
              <w:t>政府性基金预算预算财政拨款收入、支出</w:t>
            </w:r>
            <w:r>
              <w:rPr>
                <w:rFonts w:hint="eastAsia" w:ascii="宋体" w:hAnsi="宋体" w:eastAsia="宋体" w:cs="宋体"/>
                <w:color w:val="000000"/>
                <w:kern w:val="0"/>
                <w:sz w:val="22"/>
                <w:lang w:eastAsia="zh-CN" w:bidi="ar"/>
              </w:rPr>
              <w:t>，故本表为空表</w:t>
            </w:r>
            <w:r>
              <w:rPr>
                <w:rFonts w:hint="eastAsia" w:ascii="宋体" w:hAnsi="宋体" w:eastAsia="宋体" w:cs="宋体"/>
                <w:color w:val="000000"/>
                <w:kern w:val="0"/>
                <w:sz w:val="22"/>
                <w:lang w:bidi="ar"/>
              </w:rPr>
              <w:t>。</w:t>
            </w:r>
          </w:p>
        </w:tc>
      </w:tr>
    </w:tbl>
    <w:p>
      <w:pPr>
        <w:rPr>
          <w:rFonts w:eastAsia="仿宋_GB2312"/>
          <w:kern w:val="0"/>
          <w:szCs w:val="21"/>
        </w:rPr>
      </w:pPr>
      <w:r>
        <w:rPr>
          <w:rFonts w:eastAsia="仿宋_GB2312"/>
          <w:kern w:val="0"/>
          <w:szCs w:val="21"/>
        </w:rPr>
        <w:br w:type="page"/>
      </w:r>
    </w:p>
    <w:tbl>
      <w:tblPr>
        <w:tblStyle w:val="5"/>
        <w:tblW w:w="13580" w:type="dxa"/>
        <w:jc w:val="center"/>
        <w:tblLayout w:type="autofit"/>
        <w:tblCellMar>
          <w:top w:w="0" w:type="dxa"/>
          <w:left w:w="108" w:type="dxa"/>
          <w:bottom w:w="0" w:type="dxa"/>
          <w:right w:w="108" w:type="dxa"/>
        </w:tblCellMar>
      </w:tblPr>
      <w:tblGrid>
        <w:gridCol w:w="3004"/>
        <w:gridCol w:w="237"/>
        <w:gridCol w:w="237"/>
        <w:gridCol w:w="1169"/>
        <w:gridCol w:w="793"/>
        <w:gridCol w:w="1419"/>
        <w:gridCol w:w="6721"/>
      </w:tblGrid>
      <w:tr>
        <w:tblPrEx>
          <w:tblCellMar>
            <w:top w:w="0" w:type="dxa"/>
            <w:left w:w="108" w:type="dxa"/>
            <w:bottom w:w="0" w:type="dxa"/>
            <w:right w:w="108" w:type="dxa"/>
          </w:tblCellMar>
        </w:tblPrEx>
        <w:trPr>
          <w:trHeight w:val="635" w:hRule="atLeast"/>
          <w:jc w:val="center"/>
        </w:trPr>
        <w:tc>
          <w:tcPr>
            <w:tcW w:w="13580" w:type="dxa"/>
            <w:gridSpan w:val="7"/>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国有资本经营预算财政拨款支出决算表</w:t>
            </w:r>
          </w:p>
        </w:tc>
      </w:tr>
      <w:tr>
        <w:tblPrEx>
          <w:tblCellMar>
            <w:top w:w="0" w:type="dxa"/>
            <w:left w:w="108" w:type="dxa"/>
            <w:bottom w:w="0" w:type="dxa"/>
            <w:right w:w="108" w:type="dxa"/>
          </w:tblCellMar>
        </w:tblPrEx>
        <w:trPr>
          <w:trHeight w:val="317" w:hRule="atLeast"/>
          <w:jc w:val="center"/>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300"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trHeight w:val="317" w:hRule="atLeast"/>
          <w:jc w:val="center"/>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部门：湖南省煤炭地质勘查院</w:t>
            </w: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300"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3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85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108" w:type="dxa"/>
            <w:bottom w:w="0" w:type="dxa"/>
            <w:right w:w="108" w:type="dxa"/>
          </w:tblCellMar>
        </w:tblPrEx>
        <w:trPr>
          <w:trHeight w:val="334" w:hRule="atLeast"/>
          <w:jc w:val="center"/>
        </w:trPr>
        <w:tc>
          <w:tcPr>
            <w:tcW w:w="379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884"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33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630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108" w:type="dxa"/>
            <w:bottom w:w="0" w:type="dxa"/>
            <w:right w:w="108" w:type="dxa"/>
          </w:tblCellMar>
        </w:tblPrEx>
        <w:trPr>
          <w:trHeight w:val="334" w:hRule="atLeast"/>
          <w:jc w:val="center"/>
        </w:trPr>
        <w:tc>
          <w:tcPr>
            <w:tcW w:w="379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88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3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0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34" w:hRule="atLeast"/>
          <w:jc w:val="center"/>
        </w:trPr>
        <w:tc>
          <w:tcPr>
            <w:tcW w:w="379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88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3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0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3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3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300"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108" w:type="dxa"/>
            <w:bottom w:w="0" w:type="dxa"/>
            <w:right w:w="108" w:type="dxa"/>
          </w:tblCellMar>
        </w:tblPrEx>
        <w:trPr>
          <w:trHeight w:val="33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c>
          <w:tcPr>
            <w:tcW w:w="1330"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c>
          <w:tcPr>
            <w:tcW w:w="6300" w:type="dxa"/>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0.00</w:t>
            </w:r>
          </w:p>
        </w:tc>
      </w:tr>
      <w:tr>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63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63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63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63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63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63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338" w:hRule="atLeast"/>
          <w:jc w:val="center"/>
        </w:trPr>
        <w:tc>
          <w:tcPr>
            <w:tcW w:w="13580" w:type="dxa"/>
            <w:gridSpan w:val="7"/>
            <w:tcBorders>
              <w:top w:val="nil"/>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注：本表反映部门本年度国有资本经营预算财政拨款支出情况。</w:t>
            </w:r>
          </w:p>
          <w:p>
            <w:pPr>
              <w:widowControl/>
              <w:ind w:firstLine="440" w:firstLineChars="200"/>
              <w:jc w:val="left"/>
              <w:textAlignment w:val="center"/>
              <w:rPr>
                <w:rFonts w:ascii="宋体" w:hAnsi="宋体" w:eastAsia="宋体" w:cs="宋体"/>
                <w:color w:val="000000"/>
                <w:sz w:val="22"/>
              </w:rPr>
            </w:pPr>
            <w:r>
              <w:rPr>
                <w:rFonts w:hint="eastAsia" w:ascii="宋体" w:hAnsi="宋体" w:eastAsia="宋体" w:cs="宋体"/>
                <w:color w:val="000000"/>
                <w:kern w:val="0"/>
                <w:sz w:val="22"/>
                <w:lang w:eastAsia="zh-CN" w:bidi="ar"/>
              </w:rPr>
              <w:t>我单位</w:t>
            </w:r>
            <w:r>
              <w:rPr>
                <w:rFonts w:hint="eastAsia" w:ascii="宋体" w:hAnsi="宋体" w:eastAsia="宋体" w:cs="宋体"/>
                <w:color w:val="000000"/>
                <w:kern w:val="0"/>
                <w:sz w:val="22"/>
                <w:lang w:bidi="ar"/>
              </w:rPr>
              <w:t>本年度</w:t>
            </w:r>
            <w:r>
              <w:rPr>
                <w:rFonts w:hint="eastAsia" w:ascii="宋体" w:hAnsi="宋体" w:eastAsia="宋体" w:cs="宋体"/>
                <w:color w:val="000000"/>
                <w:kern w:val="0"/>
                <w:sz w:val="22"/>
                <w:lang w:eastAsia="zh-CN" w:bidi="ar"/>
              </w:rPr>
              <w:t>无</w:t>
            </w:r>
            <w:r>
              <w:rPr>
                <w:rFonts w:hint="eastAsia" w:ascii="宋体" w:hAnsi="宋体" w:eastAsia="宋体" w:cs="宋体"/>
                <w:color w:val="000000"/>
                <w:kern w:val="0"/>
                <w:sz w:val="22"/>
                <w:lang w:bidi="ar"/>
              </w:rPr>
              <w:t>国有资本经营预算财政拨款支出</w:t>
            </w:r>
            <w:r>
              <w:rPr>
                <w:rFonts w:hint="eastAsia" w:ascii="宋体" w:hAnsi="宋体" w:eastAsia="宋体" w:cs="宋体"/>
                <w:color w:val="000000"/>
                <w:kern w:val="0"/>
                <w:sz w:val="22"/>
                <w:lang w:eastAsia="zh-CN" w:bidi="ar"/>
              </w:rPr>
              <w:t>，故本表为空表</w:t>
            </w:r>
            <w:r>
              <w:rPr>
                <w:rFonts w:hint="eastAsia" w:ascii="宋体" w:hAnsi="宋体" w:eastAsia="宋体" w:cs="宋体"/>
                <w:color w:val="000000"/>
                <w:kern w:val="0"/>
                <w:sz w:val="22"/>
                <w:lang w:bidi="ar"/>
              </w:rPr>
              <w:t>。</w:t>
            </w:r>
          </w:p>
        </w:tc>
      </w:tr>
    </w:tbl>
    <w:p>
      <w:pPr>
        <w:widowControl/>
        <w:spacing w:line="600" w:lineRule="exact"/>
        <w:jc w:val="left"/>
        <w:rPr>
          <w:rFonts w:eastAsia="仿宋_GB2312"/>
          <w:kern w:val="0"/>
          <w:szCs w:val="21"/>
        </w:rPr>
      </w:pPr>
    </w:p>
    <w:p>
      <w:pPr>
        <w:rPr>
          <w:rFonts w:ascii="宋体" w:hAnsi="宋体" w:eastAsia="宋体" w:cs="宋体"/>
          <w:color w:val="000000"/>
          <w:kern w:val="0"/>
          <w:sz w:val="30"/>
          <w:szCs w:val="30"/>
          <w:lang w:bidi="ar"/>
        </w:rPr>
      </w:pPr>
    </w:p>
    <w:p>
      <w:pPr>
        <w:rPr>
          <w:rFonts w:ascii="宋体" w:hAnsi="宋体" w:eastAsia="宋体" w:cs="宋体"/>
          <w:color w:val="000000"/>
          <w:kern w:val="0"/>
          <w:sz w:val="30"/>
          <w:szCs w:val="30"/>
          <w:lang w:bidi="ar"/>
        </w:rPr>
        <w:sectPr>
          <w:pgSz w:w="16838" w:h="11906" w:orient="landscape"/>
          <w:pgMar w:top="1417" w:right="1417" w:bottom="1417" w:left="1417" w:header="851" w:footer="992" w:gutter="0"/>
          <w:cols w:space="0" w:num="1"/>
          <w:docGrid w:type="lines" w:linePitch="312" w:charSpace="0"/>
        </w:sectPr>
      </w:pPr>
      <w:r>
        <w:rPr>
          <w:rFonts w:hint="eastAsia" w:ascii="宋体" w:hAnsi="宋体" w:eastAsia="宋体" w:cs="宋体"/>
          <w:color w:val="000000"/>
          <w:kern w:val="0"/>
          <w:sz w:val="30"/>
          <w:szCs w:val="30"/>
          <w:lang w:bidi="ar"/>
        </w:rPr>
        <w:t xml:space="preserve">  </w:t>
      </w: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jc w:val="center"/>
        <w:rPr>
          <w:color w:val="auto"/>
          <w:sz w:val="72"/>
          <w:szCs w:val="72"/>
        </w:rPr>
      </w:pPr>
      <w:r>
        <w:rPr>
          <w:rFonts w:hint="eastAsia"/>
          <w:color w:val="auto"/>
          <w:sz w:val="72"/>
          <w:szCs w:val="72"/>
        </w:rPr>
        <w:t>第三部分</w:t>
      </w:r>
    </w:p>
    <w:p>
      <w:pPr>
        <w:pStyle w:val="10"/>
        <w:jc w:val="center"/>
        <w:rPr>
          <w:color w:val="auto"/>
          <w:sz w:val="70"/>
          <w:szCs w:val="70"/>
        </w:rPr>
      </w:pPr>
    </w:p>
    <w:p>
      <w:pPr>
        <w:pStyle w:val="10"/>
        <w:jc w:val="center"/>
        <w:rPr>
          <w:color w:val="auto"/>
          <w:sz w:val="70"/>
          <w:szCs w:val="70"/>
        </w:rPr>
      </w:pPr>
      <w:r>
        <w:rPr>
          <w:color w:val="auto"/>
          <w:sz w:val="70"/>
          <w:szCs w:val="70"/>
        </w:rPr>
        <w:t>20</w:t>
      </w:r>
      <w:r>
        <w:rPr>
          <w:rFonts w:hint="eastAsia"/>
          <w:color w:val="auto"/>
          <w:sz w:val="70"/>
          <w:szCs w:val="70"/>
        </w:rPr>
        <w:t>21年度部门决算情况说明</w:t>
      </w:r>
    </w:p>
    <w:p>
      <w:pPr>
        <w:widowControl/>
        <w:jc w:val="left"/>
        <w:rPr>
          <w:rFonts w:ascii="黑体" w:eastAsia="黑体" w:cs="黑体"/>
          <w:kern w:val="0"/>
          <w:sz w:val="70"/>
          <w:szCs w:val="70"/>
        </w:rPr>
      </w:pPr>
      <w:r>
        <w:rPr>
          <w:sz w:val="70"/>
          <w:szCs w:val="70"/>
        </w:rPr>
        <w:br w:type="page"/>
      </w:r>
    </w:p>
    <w:p>
      <w:pPr>
        <w:pStyle w:val="10"/>
        <w:rPr>
          <w:rFonts w:hAnsi="黑体"/>
          <w:b/>
          <w:color w:val="auto"/>
          <w:sz w:val="32"/>
          <w:szCs w:val="32"/>
        </w:rPr>
      </w:pPr>
      <w:r>
        <w:rPr>
          <w:rFonts w:hint="eastAsia" w:hAnsi="黑体"/>
          <w:b/>
          <w:color w:val="auto"/>
          <w:sz w:val="32"/>
          <w:szCs w:val="32"/>
        </w:rPr>
        <w:t>一、收入支出决算总体情况说明</w:t>
      </w:r>
    </w:p>
    <w:p>
      <w:pPr>
        <w:pStyle w:val="10"/>
        <w:ind w:firstLine="640" w:firstLineChars="200"/>
        <w:rPr>
          <w:rFonts w:asciiTheme="minorEastAsia" w:hAnsiTheme="minorEastAsia" w:eastAsiaTheme="minorEastAsia"/>
          <w:color w:val="auto"/>
          <w:sz w:val="32"/>
          <w:szCs w:val="32"/>
        </w:rPr>
      </w:pPr>
      <w:bookmarkStart w:id="0" w:name="OLE_LINK23"/>
      <w:r>
        <w:rPr>
          <w:rFonts w:hint="eastAsia" w:asciiTheme="minorEastAsia" w:hAnsiTheme="minorEastAsia" w:eastAsiaTheme="minorEastAsia"/>
          <w:color w:val="auto"/>
          <w:sz w:val="32"/>
          <w:szCs w:val="32"/>
        </w:rPr>
        <w:t>2021年部门决算本年收入总计6716.21万元，与上年相比减少882.38万元，减少11.61%，主要原因是本年初结转结余较上年减少。支出总计6716.21万元，与上年相比减少882.38，减少11.61%，主要原因是资源勘探支出、自然资源海洋气象等支出较上年减少。</w:t>
      </w:r>
    </w:p>
    <w:bookmarkEnd w:id="0"/>
    <w:p>
      <w:pPr>
        <w:pStyle w:val="10"/>
        <w:rPr>
          <w:rFonts w:hAnsi="黑体"/>
          <w:b/>
          <w:color w:val="auto"/>
          <w:sz w:val="32"/>
          <w:szCs w:val="32"/>
        </w:rPr>
      </w:pPr>
      <w:r>
        <w:rPr>
          <w:rFonts w:hint="eastAsia" w:hAnsi="黑体"/>
          <w:b/>
          <w:color w:val="auto"/>
          <w:sz w:val="32"/>
          <w:szCs w:val="32"/>
        </w:rPr>
        <w:t>二、收入决算情况说明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2021年度收入合计6390.65万元，其中：财政拨款收入1926.28万元，占30.14%；上级补助收入0万元</w:t>
      </w:r>
      <w:r>
        <w:rPr>
          <w:rFonts w:hint="eastAsia" w:asciiTheme="minorEastAsia" w:hAnsiTheme="minorEastAsia" w:eastAsiaTheme="minorEastAsia"/>
          <w:color w:val="auto"/>
          <w:sz w:val="32"/>
          <w:szCs w:val="32"/>
          <w:lang w:eastAsia="zh-CN"/>
        </w:rPr>
        <w:t>，占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；事业收入0万元</w:t>
      </w:r>
      <w:r>
        <w:rPr>
          <w:rFonts w:hint="eastAsia" w:asciiTheme="minorEastAsia" w:hAnsiTheme="minorEastAsia" w:eastAsiaTheme="minorEastAsia"/>
          <w:color w:val="auto"/>
          <w:sz w:val="32"/>
          <w:szCs w:val="32"/>
          <w:lang w:eastAsia="zh-CN"/>
        </w:rPr>
        <w:t>，占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；经营收入4464.37万元，占69.86%；附属单位上缴收入0万元</w:t>
      </w:r>
      <w:r>
        <w:rPr>
          <w:rFonts w:hint="eastAsia" w:asciiTheme="minorEastAsia" w:hAnsiTheme="minorEastAsia" w:eastAsiaTheme="minorEastAsia"/>
          <w:color w:val="auto"/>
          <w:sz w:val="32"/>
          <w:szCs w:val="32"/>
          <w:lang w:eastAsia="zh-CN"/>
        </w:rPr>
        <w:t>，占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；其他收入0万元</w:t>
      </w:r>
      <w:r>
        <w:rPr>
          <w:rFonts w:hint="eastAsia" w:asciiTheme="minorEastAsia" w:hAnsiTheme="minorEastAsia" w:eastAsiaTheme="minorEastAsia"/>
          <w:color w:val="auto"/>
          <w:sz w:val="32"/>
          <w:szCs w:val="32"/>
          <w:lang w:eastAsia="zh-CN"/>
        </w:rPr>
        <w:t>，占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三、支出决算情况说明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2021年度支出合计6108.83万元，其中：基本支出1266.77万元，占20.74%；项目支出594.75万元，占9.74%；上缴上级支出0万元</w:t>
      </w:r>
      <w:r>
        <w:rPr>
          <w:rFonts w:hint="eastAsia" w:asciiTheme="minorEastAsia" w:hAnsiTheme="minorEastAsia" w:eastAsiaTheme="minorEastAsia"/>
          <w:color w:val="auto"/>
          <w:sz w:val="32"/>
          <w:szCs w:val="32"/>
          <w:lang w:eastAsia="zh-CN"/>
        </w:rPr>
        <w:t>，占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；经营支出4247.31万元，占69.52%；对附属单位补助支出0万元</w:t>
      </w:r>
      <w:r>
        <w:rPr>
          <w:rFonts w:hint="eastAsia" w:asciiTheme="minorEastAsia" w:hAnsiTheme="minorEastAsia" w:eastAsiaTheme="minorEastAsia"/>
          <w:color w:val="auto"/>
          <w:sz w:val="32"/>
          <w:szCs w:val="32"/>
          <w:lang w:eastAsia="zh-CN"/>
        </w:rPr>
        <w:t>，占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四、财政拨款收入支出决算总体情况说明</w:t>
      </w:r>
    </w:p>
    <w:p>
      <w:pPr>
        <w:pStyle w:val="10"/>
        <w:ind w:firstLine="64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2021年度财政拨款收入总计2048.58万元，与上年相比减少361.27万元，减少14.99%，主要原因是本年初结转结余较上年减少。2021年财政支出总计2048.58万元，与上年相比，减少361.27万元,减少14.99%，主要</w:t>
      </w:r>
      <w:bookmarkStart w:id="1" w:name="OLE_LINK1"/>
      <w:r>
        <w:rPr>
          <w:rFonts w:hint="eastAsia" w:asciiTheme="minorEastAsia" w:hAnsiTheme="minorEastAsia" w:eastAsiaTheme="minorEastAsia"/>
          <w:color w:val="auto"/>
          <w:sz w:val="32"/>
          <w:szCs w:val="32"/>
        </w:rPr>
        <w:t>原因是灾害防治及应急管理支出较上年减少。</w:t>
      </w:r>
      <w:bookmarkEnd w:id="1"/>
    </w:p>
    <w:p>
      <w:pPr>
        <w:pStyle w:val="10"/>
        <w:ind w:firstLine="640"/>
        <w:rPr>
          <w:rFonts w:asciiTheme="minorEastAsia" w:hAnsiTheme="minorEastAsia" w:eastAsiaTheme="minorEastAsia"/>
          <w:color w:val="auto"/>
          <w:sz w:val="32"/>
          <w:szCs w:val="32"/>
        </w:rPr>
      </w:pPr>
    </w:p>
    <w:p>
      <w:pPr>
        <w:pStyle w:val="10"/>
        <w:rPr>
          <w:rFonts w:hAnsi="黑体"/>
          <w:b/>
          <w:color w:val="auto"/>
          <w:sz w:val="32"/>
          <w:szCs w:val="32"/>
        </w:rPr>
      </w:pPr>
      <w:r>
        <w:rPr>
          <w:rFonts w:hint="eastAsia" w:hAnsi="黑体"/>
          <w:b/>
          <w:color w:val="auto"/>
          <w:sz w:val="32"/>
          <w:szCs w:val="32"/>
        </w:rPr>
        <w:t>五、一般公共预算财政拨款支出决算情况说明</w:t>
      </w:r>
    </w:p>
    <w:p>
      <w:pPr>
        <w:pStyle w:val="10"/>
        <w:ind w:firstLine="642"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2021年度财政拨款支出1840.42万元，占本年支出合计的30.13%，与上年相比，财政拨款支出减少446.59万元，减少19.53%，主要原因是本年财政项目支出减少。</w:t>
      </w:r>
    </w:p>
    <w:p>
      <w:pPr>
        <w:pStyle w:val="10"/>
        <w:ind w:firstLine="481"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1840.42万元，主要用于以下方面：教育（类）支出2万元，占0.11%；科学技术（类）支出10万元，占0.54%；社会保障和就业（类）支出178.37万元，占9.69%；卫生健康（类）支出81.91万元，占4.45%；资源勘探工业信息（类）支出4.30万元，占0.23%；自然资源海洋气象（类）支出1268.26万元，占68.92%；住房保障（类）支出124.63万元，占6.77%；灾害防治及应急管理（类）支出170.95万元，占9.29%。</w:t>
      </w:r>
    </w:p>
    <w:p>
      <w:pPr>
        <w:pStyle w:val="10"/>
        <w:ind w:firstLine="481"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2021年度财政拨款支出年初预算数为1266.97万元，支出决算数为1840.42万元，完成年初预算的145.26%，其中：</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1、教育支出（类）进修及培训（款）培训支出（项）。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年初预算为2万元，支出决算为2万元，完成预算的100%，决算数等于年初预算数。</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2、科学技术支出（类）其他科学技术支出（款）科技奖励（项）。</w:t>
      </w:r>
    </w:p>
    <w:p>
      <w:pPr>
        <w:pStyle w:val="1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 xml:space="preserve">     年初预算为0万元，支出决算10万元，</w:t>
      </w:r>
      <w:bookmarkStart w:id="2" w:name="OLE_LINK8"/>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bookmarkEnd w:id="2"/>
      <w:r>
        <w:rPr>
          <w:rFonts w:hint="eastAsia" w:asciiTheme="minorEastAsia" w:hAnsiTheme="minorEastAsia" w:eastAsiaTheme="minorEastAsia"/>
          <w:color w:val="auto"/>
          <w:sz w:val="32"/>
          <w:szCs w:val="32"/>
        </w:rPr>
        <w:t>。</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3、社会保障和就业支出（类）行政事业单位养老支出（款）事业单位离退休（项）</w:t>
      </w:r>
    </w:p>
    <w:p>
      <w:pPr>
        <w:pStyle w:val="10"/>
        <w:ind w:firstLine="640" w:firstLineChars="200"/>
        <w:rPr>
          <w:rFonts w:asciiTheme="minorEastAsia" w:hAnsiTheme="minorEastAsia" w:eastAsiaTheme="minorEastAsia"/>
          <w:color w:val="auto"/>
          <w:sz w:val="32"/>
          <w:szCs w:val="32"/>
        </w:rPr>
      </w:pPr>
      <w:bookmarkStart w:id="3" w:name="OLE_LINK7"/>
      <w:r>
        <w:rPr>
          <w:rFonts w:hint="eastAsia" w:asciiTheme="minorEastAsia" w:hAnsiTheme="minorEastAsia" w:eastAsiaTheme="minorEastAsia"/>
          <w:color w:val="auto"/>
          <w:sz w:val="32"/>
          <w:szCs w:val="32"/>
        </w:rPr>
        <w:t>年初预算为6.5万元，支出决算为6.5万元</w:t>
      </w:r>
      <w:bookmarkEnd w:id="3"/>
      <w:bookmarkStart w:id="4" w:name="OLE_LINK4"/>
      <w:bookmarkStart w:id="5" w:name="OLE_LINK3"/>
      <w:bookmarkStart w:id="6" w:name="OLE_LINK2"/>
      <w:r>
        <w:rPr>
          <w:rFonts w:hint="eastAsia" w:asciiTheme="minorEastAsia" w:hAnsiTheme="minorEastAsia" w:eastAsiaTheme="minorEastAsia"/>
          <w:color w:val="auto"/>
          <w:sz w:val="32"/>
          <w:szCs w:val="32"/>
        </w:rPr>
        <w:t>，完成预算的100%，决算数等于年初预算数。</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4、社会保障和就业</w:t>
      </w:r>
      <w:bookmarkStart w:id="7" w:name="OLE_LINK21"/>
      <w:r>
        <w:rPr>
          <w:rFonts w:hint="eastAsia" w:asciiTheme="minorEastAsia" w:hAnsiTheme="minorEastAsia" w:eastAsiaTheme="minorEastAsia"/>
          <w:color w:val="auto"/>
          <w:sz w:val="32"/>
          <w:szCs w:val="32"/>
        </w:rPr>
        <w:t>支出（类）行政事业单位养老支出（款）</w:t>
      </w:r>
      <w:bookmarkEnd w:id="7"/>
      <w:r>
        <w:rPr>
          <w:rFonts w:hint="eastAsia" w:asciiTheme="minorEastAsia" w:hAnsiTheme="minorEastAsia" w:eastAsiaTheme="minorEastAsia"/>
          <w:color w:val="auto"/>
          <w:sz w:val="32"/>
          <w:szCs w:val="32"/>
        </w:rPr>
        <w:t>机关事业单位基本养老保险缴费支出（项）</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年初预算为171.87万元，支出决算为171.87万元</w:t>
      </w:r>
      <w:bookmarkEnd w:id="4"/>
      <w:bookmarkEnd w:id="5"/>
      <w:r>
        <w:rPr>
          <w:rFonts w:hint="eastAsia" w:asciiTheme="minorEastAsia" w:hAnsiTheme="minorEastAsia" w:eastAsiaTheme="minorEastAsia"/>
          <w:color w:val="auto"/>
          <w:sz w:val="32"/>
          <w:szCs w:val="32"/>
        </w:rPr>
        <w:t>，完成预算的100%，决算数等于年初预算数。</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5、卫生健康支出（类）行政事业单位医疗（款）事业单位医疗（项）</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年初预算为81.91万元，支出决算为81.91万元，完成预算的100%，决算数等于年初预算数。</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6、资源勘探工业信息等支出（类）资源勘探开发（款）其他资源勘探业支出（项）。</w:t>
      </w:r>
      <w:bookmarkStart w:id="8" w:name="OLE_LINK11"/>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年初预算为0万元，支出决算为4.30万元。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bookmarkEnd w:id="8"/>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7、自然资源海洋气象等支出（类）自然资源事务（款）自然资源规划及管理（项）</w:t>
      </w:r>
    </w:p>
    <w:p>
      <w:pPr>
        <w:pStyle w:val="10"/>
        <w:ind w:firstLine="800" w:firstLineChars="250"/>
        <w:rPr>
          <w:rFonts w:asciiTheme="minorEastAsia" w:hAnsiTheme="minorEastAsia" w:eastAsiaTheme="minorEastAsia"/>
          <w:color w:val="auto"/>
          <w:sz w:val="32"/>
          <w:szCs w:val="32"/>
        </w:rPr>
      </w:pPr>
      <w:bookmarkStart w:id="9" w:name="OLE_LINK12"/>
      <w:bookmarkStart w:id="10" w:name="OLE_LINK5"/>
      <w:r>
        <w:rPr>
          <w:rFonts w:hint="eastAsia" w:asciiTheme="minorEastAsia" w:hAnsiTheme="minorEastAsia" w:eastAsiaTheme="minorEastAsia"/>
          <w:color w:val="auto"/>
          <w:sz w:val="32"/>
          <w:szCs w:val="32"/>
        </w:rPr>
        <w:t>年初预算为0万元，支出决算为192.30万元。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决算数大于预算数的主要原因为上年结转指标及年中财政追加指标并形成支出。</w:t>
      </w:r>
      <w:bookmarkEnd w:id="9"/>
      <w:bookmarkEnd w:id="10"/>
      <w:bookmarkStart w:id="11" w:name="OLE_LINK10"/>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8、自然资源海洋气象等支出（类）自然资源事务（款）自然资源社会公益服务（项）</w:t>
      </w:r>
      <w:bookmarkEnd w:id="11"/>
    </w:p>
    <w:p>
      <w:pPr>
        <w:pStyle w:val="10"/>
        <w:ind w:firstLine="640" w:firstLineChars="200"/>
        <w:rPr>
          <w:rFonts w:asciiTheme="minorEastAsia" w:hAnsiTheme="minorEastAsia" w:eastAsiaTheme="minorEastAsia"/>
          <w:color w:val="auto"/>
          <w:sz w:val="32"/>
          <w:szCs w:val="32"/>
        </w:rPr>
      </w:pPr>
      <w:bookmarkStart w:id="12" w:name="OLE_LINK13"/>
      <w:r>
        <w:rPr>
          <w:rFonts w:hint="eastAsia" w:asciiTheme="minorEastAsia" w:hAnsiTheme="minorEastAsia" w:eastAsiaTheme="minorEastAsia"/>
          <w:color w:val="auto"/>
          <w:sz w:val="32"/>
          <w:szCs w:val="32"/>
        </w:rPr>
        <w:t>年初预算为0万元，支出决算为4.02万元。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bookmarkEnd w:id="12"/>
      <w:bookmarkStart w:id="13" w:name="OLE_LINK14"/>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9、自然资源海洋气象等支出（类）自然资源事务（款）</w:t>
      </w:r>
      <w:bookmarkEnd w:id="13"/>
      <w:r>
        <w:rPr>
          <w:rFonts w:hint="eastAsia" w:asciiTheme="minorEastAsia" w:hAnsiTheme="minorEastAsia" w:eastAsiaTheme="minorEastAsia"/>
          <w:color w:val="auto"/>
          <w:sz w:val="32"/>
          <w:szCs w:val="32"/>
        </w:rPr>
        <w:t>自然资源行业业务管理（项）</w:t>
      </w:r>
    </w:p>
    <w:p>
      <w:pPr>
        <w:pStyle w:val="10"/>
        <w:ind w:firstLine="640" w:firstLineChars="200"/>
        <w:rPr>
          <w:rFonts w:asciiTheme="minorEastAsia" w:hAnsiTheme="minorEastAsia" w:eastAsiaTheme="minorEastAsia"/>
          <w:color w:val="auto"/>
          <w:sz w:val="32"/>
          <w:szCs w:val="32"/>
        </w:rPr>
      </w:pPr>
      <w:bookmarkStart w:id="14" w:name="OLE_LINK15"/>
      <w:r>
        <w:rPr>
          <w:rFonts w:hint="eastAsia" w:asciiTheme="minorEastAsia" w:hAnsiTheme="minorEastAsia" w:eastAsiaTheme="minorEastAsia"/>
          <w:color w:val="auto"/>
          <w:sz w:val="32"/>
          <w:szCs w:val="32"/>
        </w:rPr>
        <w:t>年初预算为0万元，支出决算为20万元。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bookmarkEnd w:id="14"/>
      <w:bookmarkStart w:id="15" w:name="OLE_LINK16"/>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10、自然资源海洋气象等支出（类）自然资源事务（款）</w:t>
      </w:r>
      <w:bookmarkEnd w:id="15"/>
      <w:r>
        <w:rPr>
          <w:rFonts w:hint="eastAsia" w:asciiTheme="minorEastAsia" w:hAnsiTheme="minorEastAsia" w:eastAsiaTheme="minorEastAsia"/>
          <w:color w:val="auto"/>
          <w:sz w:val="32"/>
          <w:szCs w:val="32"/>
        </w:rPr>
        <w:t>自然资源调查与确权登记（项）</w:t>
      </w:r>
    </w:p>
    <w:p>
      <w:pPr>
        <w:pStyle w:val="10"/>
        <w:ind w:firstLine="640" w:firstLineChars="200"/>
        <w:rPr>
          <w:rFonts w:asciiTheme="minorEastAsia" w:hAnsiTheme="minorEastAsia" w:eastAsiaTheme="minorEastAsia"/>
          <w:color w:val="auto"/>
          <w:sz w:val="32"/>
          <w:szCs w:val="32"/>
        </w:rPr>
      </w:pPr>
      <w:bookmarkStart w:id="16" w:name="OLE_LINK17"/>
      <w:r>
        <w:rPr>
          <w:rFonts w:hint="eastAsia" w:asciiTheme="minorEastAsia" w:hAnsiTheme="minorEastAsia" w:eastAsiaTheme="minorEastAsia"/>
          <w:color w:val="auto"/>
          <w:sz w:val="32"/>
          <w:szCs w:val="32"/>
        </w:rPr>
        <w:t>年初预算为0万元，支出决算为60万元。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bookmarkEnd w:id="16"/>
      <w:bookmarkStart w:id="17" w:name="OLE_LINK18"/>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11、自然资源海洋气象等支出（类）自然资源事务（款）</w:t>
      </w:r>
      <w:bookmarkEnd w:id="17"/>
      <w:r>
        <w:rPr>
          <w:rFonts w:hint="eastAsia" w:asciiTheme="minorEastAsia" w:hAnsiTheme="minorEastAsia" w:eastAsiaTheme="minorEastAsia"/>
          <w:color w:val="auto"/>
          <w:sz w:val="32"/>
          <w:szCs w:val="32"/>
        </w:rPr>
        <w:t>地质矿产资源与环境调查（项）</w:t>
      </w:r>
    </w:p>
    <w:p>
      <w:pPr>
        <w:pStyle w:val="10"/>
        <w:ind w:firstLine="640" w:firstLineChars="200"/>
        <w:rPr>
          <w:rFonts w:asciiTheme="minorEastAsia" w:hAnsiTheme="minorEastAsia" w:eastAsiaTheme="minorEastAsia"/>
          <w:color w:val="auto"/>
          <w:sz w:val="32"/>
          <w:szCs w:val="32"/>
        </w:rPr>
      </w:pPr>
      <w:bookmarkStart w:id="18" w:name="OLE_LINK19"/>
      <w:r>
        <w:rPr>
          <w:rFonts w:hint="eastAsia" w:asciiTheme="minorEastAsia" w:hAnsiTheme="minorEastAsia" w:eastAsiaTheme="minorEastAsia"/>
          <w:color w:val="auto"/>
          <w:sz w:val="32"/>
          <w:szCs w:val="32"/>
        </w:rPr>
        <w:t>年初预算为0万元，支出决算为32.08万元。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bookmarkEnd w:id="18"/>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12、自然资源海洋气象等支出（类）自然资源事务（款） 地质勘查与矿产资源管理（项）</w:t>
      </w:r>
    </w:p>
    <w:p>
      <w:pPr>
        <w:pStyle w:val="10"/>
        <w:ind w:firstLine="640" w:firstLineChars="200"/>
        <w:rPr>
          <w:rFonts w:asciiTheme="minorEastAsia" w:hAnsiTheme="minorEastAsia" w:eastAsiaTheme="minorEastAsia"/>
          <w:color w:val="auto"/>
          <w:sz w:val="32"/>
          <w:szCs w:val="32"/>
        </w:rPr>
      </w:pPr>
      <w:bookmarkStart w:id="19" w:name="OLE_LINK20"/>
      <w:r>
        <w:rPr>
          <w:rFonts w:hint="eastAsia" w:asciiTheme="minorEastAsia" w:hAnsiTheme="minorEastAsia" w:eastAsiaTheme="minorEastAsia"/>
          <w:color w:val="auto"/>
          <w:sz w:val="32"/>
          <w:szCs w:val="32"/>
        </w:rPr>
        <w:t>年初预算为0万元，支出决算为55万元。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bookmarkEnd w:id="19"/>
      <w:bookmarkStart w:id="20" w:name="OLE_LINK9"/>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13、自然资源海洋气象等支出（类）自然资源事务（款）</w:t>
      </w:r>
      <w:bookmarkEnd w:id="20"/>
      <w:r>
        <w:rPr>
          <w:rFonts w:hint="eastAsia" w:asciiTheme="minorEastAsia" w:hAnsiTheme="minorEastAsia" w:eastAsiaTheme="minorEastAsia"/>
          <w:color w:val="auto"/>
          <w:sz w:val="32"/>
          <w:szCs w:val="32"/>
        </w:rPr>
        <w:t>事业运行（项）。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bookmarkStart w:id="21" w:name="OLE_LINK6"/>
      <w:r>
        <w:rPr>
          <w:rFonts w:hint="eastAsia" w:asciiTheme="minorEastAsia" w:hAnsiTheme="minorEastAsia" w:eastAsiaTheme="minorEastAsia"/>
          <w:color w:val="auto"/>
          <w:sz w:val="32"/>
          <w:szCs w:val="32"/>
        </w:rPr>
        <w:t>8</w:t>
      </w:r>
      <w:bookmarkEnd w:id="21"/>
      <w:r>
        <w:rPr>
          <w:rFonts w:hint="eastAsia" w:asciiTheme="minorEastAsia" w:hAnsiTheme="minorEastAsia" w:eastAsiaTheme="minorEastAsia"/>
          <w:color w:val="auto"/>
          <w:sz w:val="32"/>
          <w:szCs w:val="32"/>
        </w:rPr>
        <w:t>80.06万元，支出决算为879.86万元。决算数小于预算数的原因是本年公务接待费结余0.2万元。</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14、自然资源海洋气象等支出（类）自然资源事务（款）其他自然资源事务支出</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年初预算为0万元，支出决算为25万元。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决算数大于预算数的主要原因为年中追加指标形成支出。</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15、住房保障支出（类）住房改革支出（款）住房公积金（项）。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年初预算数124.63万元，支出决算为124.63万元</w:t>
      </w:r>
      <w:bookmarkEnd w:id="6"/>
      <w:r>
        <w:rPr>
          <w:rFonts w:hint="eastAsia" w:asciiTheme="minorEastAsia" w:hAnsiTheme="minorEastAsia" w:eastAsiaTheme="minorEastAsia"/>
          <w:color w:val="auto"/>
          <w:sz w:val="32"/>
          <w:szCs w:val="32"/>
        </w:rPr>
        <w:t>，完成预算的100%，决算数等于年初预算数。</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16、灾害防治及应急管理支出（类）自然灾害防治（款）地质灾害防治（项）</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年初预算为0万元，支出决算为170.95万元。</w:t>
      </w:r>
      <w:r>
        <w:rPr>
          <w:rFonts w:hint="eastAsia" w:asciiTheme="minorEastAsia" w:hAnsiTheme="minorEastAsia" w:eastAsiaTheme="minorEastAsia"/>
          <w:color w:val="auto"/>
          <w:sz w:val="32"/>
          <w:szCs w:val="32"/>
          <w:lang w:eastAsia="zh-CN"/>
        </w:rPr>
        <w:t>由于预算为</w:t>
      </w:r>
      <w:r>
        <w:rPr>
          <w:rFonts w:hint="eastAsia" w:asciiTheme="minorEastAsia" w:hAnsiTheme="minorEastAsia" w:eastAsiaTheme="minorEastAsia"/>
          <w:color w:val="auto"/>
          <w:sz w:val="32"/>
          <w:szCs w:val="32"/>
          <w:lang w:val="en-US" w:eastAsia="zh-CN"/>
        </w:rPr>
        <w:t>0，无法计算百分比。</w:t>
      </w:r>
      <w:r>
        <w:rPr>
          <w:rFonts w:hint="eastAsia" w:asciiTheme="minorEastAsia" w:hAnsiTheme="minorEastAsia" w:eastAsiaTheme="minorEastAsia"/>
          <w:color w:val="auto"/>
          <w:sz w:val="32"/>
          <w:szCs w:val="32"/>
        </w:rPr>
        <w:t>决算数大于预算数的主要原因为上年结转结余指标及年中财政追加指标并形成支出。</w:t>
      </w:r>
    </w:p>
    <w:p>
      <w:pPr>
        <w:pStyle w:val="10"/>
        <w:rPr>
          <w:rFonts w:hAnsi="黑体"/>
          <w:b/>
          <w:color w:val="auto"/>
          <w:sz w:val="32"/>
          <w:szCs w:val="32"/>
        </w:rPr>
      </w:pPr>
      <w:r>
        <w:rPr>
          <w:rFonts w:hint="eastAsia" w:hAnsi="黑体"/>
          <w:b/>
          <w:color w:val="auto"/>
          <w:sz w:val="32"/>
          <w:szCs w:val="32"/>
        </w:rPr>
        <w:t>六、一般公共预算财政拨款基本支出决算情况说明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基本支出1266.77万元，其中：人员经费1046.83万元，占基本支出的82.64%,主要包括基本工资、津贴补贴、绩效工资、机关事业单位基本养老保险缴费、职工基本医疗保险缴费、其他社会保障缴费、住房公积金、生活补助；公用经费219.94万元，占基本支出的17.36%，主要包括办公费、印刷费、水费、电费、邮电费、物业管理费、差旅费、维修（护）费、培训费、委托业务费、工会经费、福利费、公务用车运行维护费、其他商品和服务支出。</w:t>
      </w:r>
    </w:p>
    <w:p>
      <w:pPr>
        <w:pStyle w:val="10"/>
        <w:rPr>
          <w:rFonts w:hAnsi="黑体"/>
          <w:b/>
          <w:color w:val="auto"/>
          <w:sz w:val="32"/>
          <w:szCs w:val="32"/>
        </w:rPr>
      </w:pPr>
      <w:r>
        <w:rPr>
          <w:rFonts w:hint="eastAsia" w:hAnsi="黑体"/>
          <w:b/>
          <w:color w:val="auto"/>
          <w:sz w:val="32"/>
          <w:szCs w:val="32"/>
        </w:rPr>
        <w:t>七、一般公共预算财政拨款“三公”经费支出决算情况说明</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“三公”经费财政拨款支出预算为4.7万元，支出决算为4.50万元，完成预算的95.74%，其中：</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因公出国（境）费支出预算为0万元，支出决算为0万元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r>
        <w:rPr>
          <w:rFonts w:hint="eastAsia" w:asciiTheme="minorEastAsia" w:hAnsiTheme="minorEastAsia" w:eastAsiaTheme="minorEastAsia"/>
          <w:color w:val="auto"/>
          <w:sz w:val="32"/>
          <w:szCs w:val="32"/>
        </w:rPr>
        <w:t>预算和决算金额与上年相同。本年与上年均未做因公出国（境）费预算安排。</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公务接待费支出预算为0.2万元，与上年对比减少了0.3万元；支出决算为0万元，</w:t>
      </w:r>
      <w:bookmarkStart w:id="22" w:name="OLE_LINK22"/>
      <w:r>
        <w:rPr>
          <w:rFonts w:hint="eastAsia" w:asciiTheme="minorEastAsia" w:hAnsiTheme="minorEastAsia" w:eastAsiaTheme="minorEastAsia"/>
          <w:color w:val="auto"/>
          <w:sz w:val="32"/>
          <w:szCs w:val="32"/>
        </w:rPr>
        <w:t>与上年决算金额相同</w:t>
      </w:r>
      <w:bookmarkEnd w:id="22"/>
      <w:r>
        <w:rPr>
          <w:rFonts w:hint="eastAsia" w:asciiTheme="minorEastAsia" w:hAnsiTheme="minorEastAsia" w:eastAsiaTheme="minorEastAsia"/>
          <w:color w:val="auto"/>
          <w:sz w:val="32"/>
          <w:szCs w:val="32"/>
        </w:rPr>
        <w:t>。本年决算数小于预算数的原因是我院严格执行公务接待相关规定，不断压缩不必要的接待活动。</w:t>
      </w:r>
    </w:p>
    <w:p>
      <w:pPr>
        <w:pStyle w:val="10"/>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公务用车购置费支出预算为0万元，支出决算为0万元，</w:t>
      </w:r>
      <w:r>
        <w:rPr>
          <w:rFonts w:hint="eastAsia" w:asciiTheme="minorEastAsia" w:hAnsiTheme="minorEastAsia" w:eastAsiaTheme="minorEastAsia"/>
          <w:color w:val="auto"/>
          <w:sz w:val="32"/>
          <w:szCs w:val="32"/>
          <w:lang w:val="en-US" w:eastAsia="zh-CN"/>
        </w:rPr>
        <w:t>由于预算数为0，无法计算百分比。</w:t>
      </w:r>
      <w:r>
        <w:rPr>
          <w:rFonts w:hint="eastAsia" w:asciiTheme="minorEastAsia" w:hAnsiTheme="minorEastAsia" w:eastAsiaTheme="minorEastAsia"/>
          <w:color w:val="auto"/>
          <w:sz w:val="32"/>
          <w:szCs w:val="32"/>
        </w:rPr>
        <w:t>决算数等于预算数，与上年相比一致</w:t>
      </w:r>
      <w:r>
        <w:rPr>
          <w:rFonts w:hint="eastAsia" w:asciiTheme="minorEastAsia" w:hAnsiTheme="minorEastAsia" w:eastAsiaTheme="minorEastAsia"/>
          <w:color w:val="auto"/>
          <w:sz w:val="32"/>
          <w:szCs w:val="32"/>
          <w:lang w:eastAsia="zh-CN"/>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公务用车运行维护费支出预算为4.5万元，支出决算为4.5万元，与上年决算金额相同，完成预算的100%。我院严格管理公务车辆使用，严格按照相关规定使用车辆。</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2021年度“三公”经费财政拨款支出决算中，公务接待费支出决算0万元，因公出国（境）费支出决算0万元，公务用车购置费及运行维护费支出决算4.5万元，占100%。其中：</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1、因公出国（境）费支出决算为0万元，全年安排因公出国（境）团组0个，累计0人次。</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2、公务接待费支出决算为0万元，全年共接待来访团组0个、来宾0人次。</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3、公务用车购置费及运行维护费支出决算为4.5万元，其中：公务用车购置费0万元，</w:t>
      </w:r>
      <w:r>
        <w:rPr>
          <w:rFonts w:hint="eastAsia" w:asciiTheme="minorEastAsia" w:hAnsiTheme="minorEastAsia" w:eastAsiaTheme="minorEastAsia"/>
          <w:color w:val="auto"/>
          <w:sz w:val="32"/>
          <w:szCs w:val="32"/>
          <w:lang w:eastAsia="zh-CN"/>
        </w:rPr>
        <w:t>本单位</w:t>
      </w:r>
      <w:r>
        <w:rPr>
          <w:rFonts w:hint="eastAsia" w:asciiTheme="minorEastAsia" w:hAnsiTheme="minorEastAsia" w:eastAsiaTheme="minorEastAsia"/>
          <w:color w:val="auto"/>
          <w:sz w:val="32"/>
          <w:szCs w:val="32"/>
        </w:rPr>
        <w:t>更新公务用车</w:t>
      </w:r>
      <w:r>
        <w:rPr>
          <w:rFonts w:hint="eastAsia" w:asciiTheme="minorEastAsia" w:hAnsiTheme="minorEastAsia" w:eastAsiaTheme="minorEastAsia"/>
          <w:color w:val="auto"/>
          <w:sz w:val="32"/>
          <w:szCs w:val="32"/>
          <w:lang w:val="en-US" w:eastAsia="zh-CN"/>
        </w:rPr>
        <w:t>0辆</w:t>
      </w:r>
      <w:r>
        <w:rPr>
          <w:rFonts w:hint="eastAsia" w:asciiTheme="minorEastAsia" w:hAnsiTheme="minorEastAsia" w:eastAsiaTheme="minorEastAsia"/>
          <w:color w:val="auto"/>
          <w:sz w:val="32"/>
          <w:szCs w:val="32"/>
        </w:rPr>
        <w:t>。公务用车运行维护费4.5万元，主要是车辆维修费、过路过桥费、油费支出，截止2021年12月31日，我单位开支财政拨款的公务用车保有量为1辆。</w:t>
      </w:r>
    </w:p>
    <w:p>
      <w:pPr>
        <w:pStyle w:val="10"/>
        <w:rPr>
          <w:rFonts w:hAnsi="黑体"/>
          <w:b/>
          <w:color w:val="auto"/>
          <w:sz w:val="32"/>
          <w:szCs w:val="32"/>
        </w:rPr>
      </w:pPr>
      <w:r>
        <w:rPr>
          <w:rFonts w:hint="eastAsia" w:hAnsi="黑体"/>
          <w:b/>
          <w:color w:val="auto"/>
          <w:sz w:val="32"/>
          <w:szCs w:val="32"/>
        </w:rPr>
        <w:t>八、政府性基金预算收入支出决算情况</w:t>
      </w:r>
    </w:p>
    <w:p>
      <w:pPr>
        <w:pStyle w:val="1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 xml:space="preserve">     2021年度政府性基金预算财政拨款收入为0万元。</w:t>
      </w:r>
    </w:p>
    <w:p>
      <w:pPr>
        <w:pStyle w:val="10"/>
        <w:rPr>
          <w:rFonts w:hAnsi="黑体"/>
          <w:b/>
          <w:color w:val="auto"/>
          <w:sz w:val="32"/>
          <w:szCs w:val="32"/>
        </w:rPr>
      </w:pPr>
      <w:r>
        <w:rPr>
          <w:rFonts w:hint="eastAsia" w:hAnsi="黑体"/>
          <w:b/>
          <w:color w:val="auto"/>
          <w:sz w:val="32"/>
          <w:szCs w:val="32"/>
        </w:rPr>
        <w:t>九、机关运行经费支出说明</w:t>
      </w:r>
    </w:p>
    <w:p>
      <w:pPr>
        <w:pStyle w:val="10"/>
        <w:ind w:firstLine="640" w:firstLineChars="200"/>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本单位非行政单位和参照公务员法管理事业单位，机关运行经费</w:t>
      </w:r>
      <w:r>
        <w:rPr>
          <w:rFonts w:hint="eastAsia" w:asciiTheme="minorEastAsia" w:hAnsiTheme="minorEastAsia" w:eastAsiaTheme="minorEastAsia"/>
          <w:color w:val="auto"/>
          <w:sz w:val="32"/>
          <w:szCs w:val="32"/>
        </w:rPr>
        <w:t>为0万元。</w:t>
      </w:r>
    </w:p>
    <w:p>
      <w:pPr>
        <w:pStyle w:val="10"/>
        <w:rPr>
          <w:rFonts w:hAnsi="黑体"/>
          <w:b/>
          <w:color w:val="auto"/>
          <w:sz w:val="32"/>
          <w:szCs w:val="32"/>
        </w:rPr>
      </w:pPr>
      <w:r>
        <w:rPr>
          <w:rFonts w:hint="eastAsia" w:hAnsi="黑体"/>
          <w:b/>
          <w:color w:val="auto"/>
          <w:sz w:val="32"/>
          <w:szCs w:val="32"/>
        </w:rPr>
        <w:t>十、一般性支出情况说明</w:t>
      </w:r>
    </w:p>
    <w:p>
      <w:pPr>
        <w:ind w:firstLine="640" w:firstLineChars="200"/>
        <w:rPr>
          <w:rFonts w:cs="黑体" w:asciiTheme="minorEastAsia" w:hAnsiTheme="minorEastAsia"/>
          <w:kern w:val="0"/>
          <w:sz w:val="32"/>
          <w:szCs w:val="32"/>
        </w:rPr>
      </w:pPr>
      <w:r>
        <w:rPr>
          <w:rFonts w:hint="eastAsia" w:asciiTheme="minorEastAsia" w:hAnsiTheme="minorEastAsia"/>
          <w:sz w:val="32"/>
          <w:szCs w:val="32"/>
        </w:rPr>
        <w:t>2021年本单位开支会议费0万元；开支培训费2万元，主要用于开展职工专业技术培训及继续教育培训，参加培训60人次。</w:t>
      </w:r>
      <w:r>
        <w:rPr>
          <w:rFonts w:cs="黑体" w:asciiTheme="minorEastAsia" w:hAnsiTheme="minorEastAsia"/>
          <w:kern w:val="0"/>
          <w:sz w:val="32"/>
          <w:szCs w:val="32"/>
        </w:rPr>
        <w:t>全年未举办节庆、晚会、论坛、赛事活动，开支0万元。</w:t>
      </w:r>
    </w:p>
    <w:p>
      <w:pPr>
        <w:pStyle w:val="10"/>
        <w:rPr>
          <w:rFonts w:hAnsi="黑体"/>
          <w:b/>
          <w:color w:val="auto"/>
          <w:sz w:val="32"/>
          <w:szCs w:val="32"/>
        </w:rPr>
      </w:pPr>
      <w:r>
        <w:rPr>
          <w:rFonts w:hint="eastAsia" w:hAnsi="黑体"/>
          <w:b/>
          <w:color w:val="auto"/>
          <w:sz w:val="32"/>
          <w:szCs w:val="32"/>
        </w:rPr>
        <w:t>十一、政府采购支出说明</w:t>
      </w:r>
    </w:p>
    <w:p>
      <w:pPr>
        <w:pStyle w:val="10"/>
        <w:ind w:firstLine="640" w:firstLineChars="200"/>
        <w:rPr>
          <w:rFonts w:hint="eastAsia" w:asciiTheme="minorEastAsia" w:hAnsiTheme="minorEastAsia" w:eastAsiaTheme="minorEastAsia" w:cstheme="minorBidi"/>
          <w:color w:val="auto"/>
          <w:kern w:val="2"/>
          <w:sz w:val="32"/>
          <w:szCs w:val="32"/>
          <w:lang w:val="en-US" w:eastAsia="zh-CN" w:bidi="ar-SA"/>
        </w:rPr>
      </w:pPr>
      <w:bookmarkStart w:id="23" w:name="_GoBack"/>
      <w:r>
        <w:rPr>
          <w:rFonts w:hint="eastAsia" w:asciiTheme="minorEastAsia" w:hAnsiTheme="minorEastAsia" w:eastAsiaTheme="minorEastAsia" w:cstheme="minorBidi"/>
          <w:color w:val="auto"/>
          <w:kern w:val="2"/>
          <w:sz w:val="32"/>
          <w:szCs w:val="32"/>
          <w:lang w:val="en-US" w:eastAsia="zh-CN" w:bidi="ar-SA"/>
        </w:rPr>
        <w:t>本部门2021年度政府采购支出总额0万元，其中：政府采购货物支出0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bookmarkEnd w:id="23"/>
    <w:p>
      <w:pPr>
        <w:pStyle w:val="10"/>
        <w:rPr>
          <w:rFonts w:hAnsi="黑体"/>
          <w:b/>
          <w:color w:val="auto"/>
          <w:sz w:val="32"/>
          <w:szCs w:val="32"/>
        </w:rPr>
      </w:pPr>
      <w:r>
        <w:rPr>
          <w:rFonts w:hint="eastAsia" w:hAnsi="黑体"/>
          <w:b/>
          <w:color w:val="auto"/>
          <w:sz w:val="32"/>
          <w:szCs w:val="32"/>
        </w:rPr>
        <w:t>十二、国有资产占用情况说明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截至2021年12月31日，单位共有车辆1辆，其中，其他用车1辆，其他用车主要是专业测井配套用车；单位价值50万元以上通用设备0台（套）；单位价值100万元以上专用设备2台（套）。</w:t>
      </w:r>
    </w:p>
    <w:p>
      <w:pPr>
        <w:pStyle w:val="10"/>
        <w:rPr>
          <w:rFonts w:hAnsi="黑体"/>
          <w:b/>
          <w:color w:val="auto"/>
          <w:sz w:val="32"/>
          <w:szCs w:val="32"/>
        </w:rPr>
      </w:pPr>
      <w:r>
        <w:rPr>
          <w:rFonts w:hint="eastAsia" w:hAnsi="黑体"/>
          <w:b/>
          <w:color w:val="auto"/>
          <w:sz w:val="32"/>
          <w:szCs w:val="32"/>
        </w:rPr>
        <w:t>十三、2021年度预算绩效情况说明</w:t>
      </w:r>
    </w:p>
    <w:p>
      <w:pPr>
        <w:pStyle w:val="10"/>
        <w:ind w:firstLine="640" w:firstLineChars="200"/>
        <w:rPr>
          <w:rFonts w:asciiTheme="minorEastAsia" w:hAnsiTheme="minorEastAsia" w:eastAsiaTheme="minorEastAsia"/>
          <w:color w:val="auto"/>
          <w:sz w:val="32"/>
          <w:szCs w:val="32"/>
        </w:rPr>
        <w:sectPr>
          <w:pgSz w:w="11906" w:h="16838"/>
          <w:pgMar w:top="1417" w:right="1417" w:bottom="1417" w:left="1417" w:header="851" w:footer="992" w:gutter="0"/>
          <w:cols w:space="0" w:num="1"/>
          <w:docGrid w:type="lines" w:linePitch="312" w:charSpace="0"/>
        </w:sectPr>
      </w:pPr>
      <w:r>
        <w:rPr>
          <w:rFonts w:hint="eastAsia" w:asciiTheme="minorEastAsia" w:hAnsiTheme="minorEastAsia" w:eastAsiaTheme="minorEastAsia"/>
          <w:color w:val="auto"/>
          <w:sz w:val="32"/>
          <w:szCs w:val="32"/>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pPr>
        <w:pStyle w:val="10"/>
        <w:jc w:val="center"/>
        <w:rPr>
          <w:color w:val="auto"/>
          <w:sz w:val="56"/>
          <w:szCs w:val="56"/>
        </w:rPr>
      </w:pPr>
    </w:p>
    <w:p>
      <w:pPr>
        <w:pStyle w:val="10"/>
        <w:jc w:val="center"/>
        <w:rPr>
          <w:color w:val="auto"/>
          <w:sz w:val="56"/>
          <w:szCs w:val="56"/>
        </w:rPr>
      </w:pPr>
    </w:p>
    <w:p>
      <w:pPr>
        <w:pStyle w:val="10"/>
        <w:jc w:val="center"/>
        <w:rPr>
          <w:color w:val="auto"/>
          <w:sz w:val="84"/>
          <w:szCs w:val="84"/>
        </w:rPr>
      </w:pPr>
    </w:p>
    <w:p>
      <w:pPr>
        <w:pStyle w:val="10"/>
        <w:jc w:val="center"/>
        <w:rPr>
          <w:color w:val="auto"/>
          <w:sz w:val="84"/>
          <w:szCs w:val="84"/>
        </w:rPr>
      </w:pPr>
    </w:p>
    <w:p>
      <w:pPr>
        <w:pStyle w:val="10"/>
        <w:jc w:val="center"/>
        <w:rPr>
          <w:color w:val="auto"/>
          <w:sz w:val="72"/>
          <w:szCs w:val="72"/>
        </w:rPr>
      </w:pPr>
      <w:r>
        <w:rPr>
          <w:rFonts w:hint="eastAsia"/>
          <w:color w:val="auto"/>
          <w:sz w:val="72"/>
          <w:szCs w:val="72"/>
        </w:rPr>
        <w:t>第四部分</w:t>
      </w:r>
    </w:p>
    <w:p>
      <w:pPr>
        <w:jc w:val="center"/>
        <w:rPr>
          <w:rFonts w:ascii="黑体" w:eastAsia="黑体" w:cs="黑体"/>
          <w:kern w:val="0"/>
          <w:sz w:val="70"/>
          <w:szCs w:val="70"/>
        </w:rPr>
      </w:pPr>
    </w:p>
    <w:p>
      <w:pPr>
        <w:jc w:val="center"/>
        <w:rPr>
          <w:rFonts w:ascii="黑体" w:eastAsia="黑体" w:cs="黑体"/>
          <w:kern w:val="0"/>
          <w:sz w:val="70"/>
          <w:szCs w:val="70"/>
        </w:rPr>
      </w:pPr>
      <w:r>
        <w:rPr>
          <w:rFonts w:hint="eastAsia" w:ascii="黑体" w:eastAsia="黑体" w:cs="黑体"/>
          <w:kern w:val="0"/>
          <w:sz w:val="70"/>
          <w:szCs w:val="70"/>
        </w:rPr>
        <w:t>名词解释</w:t>
      </w:r>
    </w:p>
    <w:p>
      <w:pPr>
        <w:widowControl/>
        <w:jc w:val="left"/>
        <w:rPr>
          <w:rFonts w:ascii="黑体" w:eastAsia="黑体" w:cs="黑体"/>
          <w:kern w:val="0"/>
          <w:sz w:val="70"/>
          <w:szCs w:val="70"/>
        </w:rPr>
      </w:pPr>
      <w:r>
        <w:rPr>
          <w:rFonts w:ascii="黑体" w:eastAsia="黑体" w:cs="黑体"/>
          <w:kern w:val="0"/>
          <w:sz w:val="70"/>
          <w:szCs w:val="70"/>
        </w:rPr>
        <w:br w:type="page"/>
      </w:r>
    </w:p>
    <w:p>
      <w:pPr>
        <w:ind w:firstLine="640" w:firstLineChars="200"/>
        <w:jc w:val="left"/>
        <w:rPr>
          <w:rFonts w:cs="黑体" w:asciiTheme="minorEastAsia" w:hAnsiTheme="minorEastAsia"/>
          <w:kern w:val="0"/>
          <w:sz w:val="32"/>
          <w:szCs w:val="32"/>
        </w:rPr>
      </w:pPr>
    </w:p>
    <w:p>
      <w:pPr>
        <w:pStyle w:val="10"/>
        <w:ind w:firstLine="640" w:firstLineChars="200"/>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一、基本支出：指为保障机构正常运转、完成日常工作任务而发生的各项支出，包括人员支出和公用支出。</w:t>
      </w:r>
    </w:p>
    <w:p>
      <w:pPr>
        <w:pStyle w:val="10"/>
        <w:ind w:firstLine="640" w:firstLineChars="200"/>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二、项目支出：指在基本支出以外为完成相关行政任务和事业发展目标所发生的各项支出。</w:t>
      </w:r>
    </w:p>
    <w:p>
      <w:pPr>
        <w:pStyle w:val="10"/>
        <w:ind w:firstLine="640" w:firstLineChars="200"/>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三、“三公”经费：指通过财政拨款资金安排的因公出国（境）费、公务用车购置及运行费和公务接待费支出。</w:t>
      </w:r>
    </w:p>
    <w:p>
      <w:pPr>
        <w:pStyle w:val="10"/>
        <w:ind w:firstLine="640" w:firstLineChars="200"/>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五、资源勘探工业信息等支出：是指用于资源勘探、制造业、建筑业、工业信息等方面支出。</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六、国土海洋气象等支出：是指用于国土资源、海洋、测绘、地震、气象等公益服务事业方面的支出。</w:t>
      </w: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56"/>
          <w:szCs w:val="56"/>
        </w:rPr>
      </w:pPr>
    </w:p>
    <w:p>
      <w:pPr>
        <w:pStyle w:val="10"/>
        <w:jc w:val="center"/>
        <w:rPr>
          <w:color w:val="auto"/>
          <w:sz w:val="56"/>
          <w:szCs w:val="56"/>
        </w:rPr>
      </w:pPr>
    </w:p>
    <w:p>
      <w:pPr>
        <w:pStyle w:val="10"/>
        <w:jc w:val="center"/>
        <w:rPr>
          <w:color w:val="auto"/>
          <w:sz w:val="84"/>
          <w:szCs w:val="84"/>
        </w:rPr>
      </w:pPr>
    </w:p>
    <w:p>
      <w:pPr>
        <w:pStyle w:val="10"/>
        <w:jc w:val="center"/>
        <w:rPr>
          <w:color w:val="auto"/>
          <w:sz w:val="84"/>
          <w:szCs w:val="84"/>
        </w:rPr>
      </w:pPr>
    </w:p>
    <w:p>
      <w:pPr>
        <w:pStyle w:val="10"/>
        <w:jc w:val="center"/>
        <w:rPr>
          <w:color w:val="auto"/>
          <w:sz w:val="72"/>
          <w:szCs w:val="72"/>
        </w:rPr>
      </w:pPr>
      <w:r>
        <w:rPr>
          <w:rFonts w:hint="eastAsia"/>
          <w:color w:val="auto"/>
          <w:sz w:val="72"/>
          <w:szCs w:val="72"/>
        </w:rPr>
        <w:t>第五部分</w:t>
      </w:r>
    </w:p>
    <w:p>
      <w:pPr>
        <w:jc w:val="center"/>
        <w:rPr>
          <w:rFonts w:ascii="黑体" w:eastAsia="黑体" w:cs="黑体"/>
          <w:kern w:val="0"/>
          <w:sz w:val="70"/>
          <w:szCs w:val="70"/>
        </w:rPr>
      </w:pPr>
    </w:p>
    <w:p>
      <w:pPr>
        <w:jc w:val="center"/>
        <w:rPr>
          <w:rFonts w:ascii="黑体" w:eastAsia="黑体" w:cs="黑体"/>
          <w:kern w:val="0"/>
          <w:sz w:val="70"/>
          <w:szCs w:val="70"/>
        </w:rPr>
      </w:pPr>
      <w:r>
        <w:rPr>
          <w:rFonts w:hint="eastAsia" w:ascii="黑体" w:eastAsia="黑体" w:cs="黑体"/>
          <w:kern w:val="0"/>
          <w:sz w:val="70"/>
          <w:szCs w:val="70"/>
        </w:rPr>
        <w:t>附件</w:t>
      </w:r>
    </w:p>
    <w:p>
      <w:pPr>
        <w:widowControl/>
        <w:jc w:val="left"/>
        <w:rPr>
          <w:rFonts w:ascii="黑体" w:eastAsia="黑体" w:cs="黑体"/>
          <w:kern w:val="0"/>
          <w:sz w:val="70"/>
          <w:szCs w:val="70"/>
        </w:rPr>
      </w:pPr>
      <w:r>
        <w:rPr>
          <w:rFonts w:ascii="黑体" w:eastAsia="黑体" w:cs="黑体"/>
          <w:kern w:val="0"/>
          <w:sz w:val="70"/>
          <w:szCs w:val="70"/>
        </w:rPr>
        <w:br w:type="page"/>
      </w:r>
    </w:p>
    <w:p>
      <w:pPr>
        <w:ind w:firstLine="640" w:firstLineChars="200"/>
        <w:jc w:val="center"/>
        <w:rPr>
          <w:rFonts w:cs="黑体" w:asciiTheme="minorEastAsia" w:hAnsiTheme="minorEastAsia"/>
          <w:b/>
          <w:kern w:val="0"/>
          <w:sz w:val="32"/>
          <w:szCs w:val="32"/>
        </w:rPr>
      </w:pPr>
      <w:r>
        <w:rPr>
          <w:rFonts w:hint="eastAsia" w:cs="黑体" w:asciiTheme="minorEastAsia" w:hAnsiTheme="minorEastAsia"/>
          <w:b/>
          <w:kern w:val="0"/>
          <w:sz w:val="32"/>
          <w:szCs w:val="32"/>
        </w:rPr>
        <w:t>2021年度部门整体支出绩效评价报告</w:t>
      </w:r>
    </w:p>
    <w:p>
      <w:pPr>
        <w:spacing w:line="560" w:lineRule="exact"/>
        <w:ind w:firstLine="640" w:firstLineChars="200"/>
        <w:rPr>
          <w:rFonts w:eastAsia="黑体"/>
          <w:sz w:val="32"/>
          <w:szCs w:val="32"/>
        </w:rPr>
      </w:pPr>
      <w:r>
        <w:rPr>
          <w:rFonts w:eastAsia="黑体"/>
          <w:sz w:val="32"/>
          <w:szCs w:val="32"/>
        </w:rPr>
        <w:t>一、单位基本情况</w:t>
      </w:r>
    </w:p>
    <w:p>
      <w:pPr>
        <w:spacing w:line="560" w:lineRule="exact"/>
        <w:ind w:firstLine="640" w:firstLineChars="200"/>
        <w:rPr>
          <w:rFonts w:eastAsia="楷体_GB2312"/>
          <w:sz w:val="32"/>
          <w:szCs w:val="32"/>
        </w:rPr>
      </w:pPr>
      <w:r>
        <w:rPr>
          <w:rFonts w:hAnsi="楷体_GB2312" w:eastAsia="楷体_GB2312"/>
          <w:sz w:val="32"/>
          <w:szCs w:val="32"/>
        </w:rPr>
        <w:t>（一）单位主要职能</w:t>
      </w:r>
    </w:p>
    <w:p>
      <w:pPr>
        <w:spacing w:line="560" w:lineRule="exact"/>
        <w:ind w:firstLine="640" w:firstLineChars="200"/>
        <w:rPr>
          <w:rFonts w:eastAsia="仿宋_GB2312"/>
          <w:sz w:val="32"/>
          <w:szCs w:val="32"/>
        </w:rPr>
      </w:pPr>
      <w:r>
        <w:rPr>
          <w:rFonts w:eastAsia="仿宋_GB2312"/>
          <w:sz w:val="32"/>
          <w:szCs w:val="32"/>
        </w:rPr>
        <w:t>湖南省煤炭地质勘查院（以下简称我院）改革前是湖南省地质院下属的以能源地质为特色、自然资源产业链综合发展的正处级综合性地勘科研单位，目前主要承担煤炭地质勘查、煤层气页岩气勘查、非煤矿产勘查、水工环地质勘查、地球物理勘查、地质灾害勘查治理及矿山设计、测绘工程、土地规划评估等公益性及市场性相结合的自然资源产业工作。</w:t>
      </w:r>
    </w:p>
    <w:p>
      <w:pPr>
        <w:spacing w:line="560" w:lineRule="exact"/>
        <w:ind w:firstLine="640" w:firstLineChars="200"/>
        <w:rPr>
          <w:rFonts w:eastAsia="楷体_GB2312"/>
          <w:sz w:val="32"/>
          <w:szCs w:val="32"/>
        </w:rPr>
      </w:pPr>
      <w:r>
        <w:rPr>
          <w:rFonts w:hAnsi="楷体_GB2312" w:eastAsia="楷体_GB2312"/>
          <w:sz w:val="32"/>
          <w:szCs w:val="32"/>
        </w:rPr>
        <w:t>（二）机构设置情况</w:t>
      </w:r>
    </w:p>
    <w:p>
      <w:pPr>
        <w:spacing w:line="560" w:lineRule="exact"/>
        <w:ind w:firstLine="640" w:firstLineChars="200"/>
        <w:rPr>
          <w:rFonts w:eastAsia="仿宋_GB2312"/>
          <w:sz w:val="32"/>
          <w:szCs w:val="32"/>
        </w:rPr>
      </w:pPr>
      <w:r>
        <w:rPr>
          <w:rFonts w:eastAsia="仿宋_GB2312"/>
          <w:sz w:val="32"/>
          <w:szCs w:val="32"/>
        </w:rPr>
        <w:t>我院内设9个党政管理部门及11个业务工作部门，1个国家级博士后工作站，1个湖南创新型省份建设专项创新平台——“湖南省地质新能源勘探开发工程技术研究中心”。</w:t>
      </w:r>
    </w:p>
    <w:p>
      <w:pPr>
        <w:spacing w:line="560" w:lineRule="exact"/>
        <w:ind w:firstLine="640" w:firstLineChars="200"/>
        <w:rPr>
          <w:rFonts w:eastAsia="楷体_GB2312"/>
          <w:sz w:val="32"/>
          <w:szCs w:val="32"/>
        </w:rPr>
      </w:pPr>
      <w:r>
        <w:rPr>
          <w:rFonts w:hAnsi="楷体_GB2312" w:eastAsia="楷体_GB2312"/>
          <w:sz w:val="32"/>
          <w:szCs w:val="32"/>
        </w:rPr>
        <w:t>（三）人员情况</w:t>
      </w:r>
    </w:p>
    <w:p>
      <w:pPr>
        <w:spacing w:line="560" w:lineRule="exact"/>
        <w:ind w:firstLine="640" w:firstLineChars="200"/>
        <w:rPr>
          <w:rFonts w:eastAsia="仿宋_GB2312"/>
          <w:sz w:val="32"/>
          <w:szCs w:val="32"/>
        </w:rPr>
      </w:pPr>
      <w:r>
        <w:rPr>
          <w:rFonts w:eastAsia="仿宋_GB2312"/>
          <w:sz w:val="32"/>
          <w:szCs w:val="32"/>
        </w:rPr>
        <w:t>我院核定编制141人。截止2021年12月末，在职职工98人，退休职工17人。</w:t>
      </w:r>
    </w:p>
    <w:p>
      <w:pPr>
        <w:widowControl/>
        <w:spacing w:line="560" w:lineRule="exact"/>
        <w:ind w:firstLine="640" w:firstLineChars="200"/>
        <w:rPr>
          <w:rFonts w:eastAsia="黑体"/>
          <w:sz w:val="32"/>
          <w:szCs w:val="32"/>
        </w:rPr>
      </w:pPr>
      <w:r>
        <w:rPr>
          <w:rFonts w:eastAsia="黑体"/>
          <w:sz w:val="32"/>
          <w:szCs w:val="32"/>
        </w:rPr>
        <w:t>二、一般公共预算支出情况</w:t>
      </w:r>
    </w:p>
    <w:p>
      <w:pPr>
        <w:spacing w:line="560" w:lineRule="exact"/>
        <w:ind w:firstLine="640" w:firstLineChars="200"/>
        <w:rPr>
          <w:sz w:val="28"/>
          <w:szCs w:val="28"/>
        </w:rPr>
      </w:pPr>
      <w:r>
        <w:rPr>
          <w:rFonts w:eastAsia="仿宋_GB2312"/>
          <w:sz w:val="32"/>
          <w:szCs w:val="32"/>
        </w:rPr>
        <w:t>2021年财政预算指标2048.58万元，其中上年结转本年支付的预算指标122.3万元（全部为项目结转结余指标），本年财政预算指标1926.28万元。本年财政预算指标中，基本支出指标1266.97万元，项目经费指标659.31万元。</w:t>
      </w:r>
    </w:p>
    <w:p>
      <w:pPr>
        <w:widowControl/>
        <w:spacing w:line="560" w:lineRule="exact"/>
        <w:ind w:firstLine="627" w:firstLineChars="196"/>
        <w:rPr>
          <w:rFonts w:eastAsia="楷体_GB2312"/>
          <w:bCs/>
          <w:sz w:val="32"/>
          <w:szCs w:val="32"/>
        </w:rPr>
      </w:pPr>
      <w:r>
        <w:rPr>
          <w:rFonts w:eastAsia="楷体_GB2312"/>
          <w:bCs/>
          <w:sz w:val="32"/>
          <w:szCs w:val="32"/>
        </w:rPr>
        <w:t>（一）基本支出情况</w:t>
      </w:r>
    </w:p>
    <w:p>
      <w:pPr>
        <w:spacing w:line="560" w:lineRule="exact"/>
        <w:ind w:firstLine="640" w:firstLineChars="200"/>
        <w:rPr>
          <w:rFonts w:eastAsia="仿宋_GB2312"/>
          <w:sz w:val="32"/>
          <w:szCs w:val="32"/>
        </w:rPr>
      </w:pPr>
      <w:r>
        <w:rPr>
          <w:rFonts w:eastAsia="仿宋_GB2312"/>
          <w:sz w:val="32"/>
          <w:szCs w:val="32"/>
        </w:rPr>
        <w:t>2021年初部门预算1266.97万元。全年收到财政拨款基本支出1266.97万元，包含人员经费1046.83万元，日常公用经费220.14万元。全年基本支出累计支付1266.77万元，其中支付人员经费1046.83万元，日常公用经费219.94万元。全年基本支出结余0.20万元（公务接待费结余0.20万元）。</w:t>
      </w:r>
    </w:p>
    <w:p>
      <w:pPr>
        <w:adjustRightInd w:val="0"/>
        <w:snapToGrid w:val="0"/>
        <w:spacing w:line="560" w:lineRule="exact"/>
        <w:ind w:firstLine="640" w:firstLineChars="200"/>
        <w:rPr>
          <w:rFonts w:eastAsia="仿宋_GB2312"/>
          <w:sz w:val="32"/>
          <w:szCs w:val="32"/>
        </w:rPr>
      </w:pPr>
      <w:r>
        <w:rPr>
          <w:rFonts w:eastAsia="仿宋_GB2312"/>
          <w:sz w:val="32"/>
          <w:szCs w:val="32"/>
        </w:rPr>
        <w:t>2021年三公经费预算4.7万元，含公务用车运行维护费4.5万元，公务接待费0.2万元，无因公出国（境）费用。全年支出4.5万元，含公务用车运行维护费4.5万元，公务接待费0万元，因公出国（境）费用0万元。</w:t>
      </w:r>
    </w:p>
    <w:p>
      <w:pPr>
        <w:widowControl/>
        <w:spacing w:line="560" w:lineRule="exact"/>
        <w:ind w:firstLine="627" w:firstLineChars="196"/>
        <w:rPr>
          <w:rFonts w:eastAsia="楷体_GB2312"/>
          <w:bCs/>
          <w:sz w:val="32"/>
          <w:szCs w:val="32"/>
        </w:rPr>
      </w:pPr>
      <w:r>
        <w:rPr>
          <w:rFonts w:eastAsia="楷体_GB2312"/>
          <w:bCs/>
          <w:sz w:val="32"/>
          <w:szCs w:val="32"/>
        </w:rPr>
        <w:t>（二）项目支出情况</w:t>
      </w:r>
    </w:p>
    <w:p>
      <w:pPr>
        <w:spacing w:line="560" w:lineRule="exact"/>
        <w:ind w:firstLine="640" w:firstLineChars="200"/>
        <w:rPr>
          <w:rFonts w:eastAsia="仿宋_GB2312"/>
          <w:sz w:val="32"/>
          <w:szCs w:val="32"/>
        </w:rPr>
      </w:pPr>
      <w:r>
        <w:rPr>
          <w:rFonts w:eastAsia="仿宋_GB2312"/>
          <w:sz w:val="32"/>
          <w:szCs w:val="32"/>
        </w:rPr>
        <w:t>2021年收到项目资金659.31万元，其中自然资源事务专项7个，445.01万元；地质灾害防治专项2个，200万元；创新型省份建设专项及其他资源勘探专项14.3万元。全年累计项目支出594.75万元。</w:t>
      </w:r>
    </w:p>
    <w:p>
      <w:pPr>
        <w:widowControl/>
        <w:spacing w:line="560" w:lineRule="exact"/>
        <w:ind w:firstLine="640" w:firstLineChars="200"/>
        <w:rPr>
          <w:rFonts w:eastAsia="黑体"/>
          <w:sz w:val="32"/>
          <w:szCs w:val="32"/>
        </w:rPr>
      </w:pPr>
      <w:r>
        <w:rPr>
          <w:rFonts w:eastAsia="黑体"/>
          <w:sz w:val="32"/>
          <w:szCs w:val="32"/>
        </w:rPr>
        <w:t>三、政府性基金预算支出情况</w:t>
      </w:r>
    </w:p>
    <w:p>
      <w:pPr>
        <w:widowControl/>
        <w:spacing w:line="560" w:lineRule="exact"/>
        <w:ind w:firstLine="640" w:firstLineChars="200"/>
        <w:rPr>
          <w:rFonts w:eastAsia="仿宋_GB2312"/>
          <w:sz w:val="32"/>
          <w:szCs w:val="32"/>
        </w:rPr>
      </w:pPr>
      <w:r>
        <w:rPr>
          <w:rFonts w:eastAsia="仿宋_GB2312"/>
          <w:sz w:val="32"/>
          <w:szCs w:val="32"/>
        </w:rPr>
        <w:t>2021年我院政府性基金预算支出</w:t>
      </w:r>
      <w:r>
        <w:rPr>
          <w:rFonts w:hint="eastAsia" w:eastAsia="仿宋_GB2312"/>
          <w:sz w:val="32"/>
          <w:szCs w:val="32"/>
        </w:rPr>
        <w:t>0元</w:t>
      </w:r>
      <w:r>
        <w:rPr>
          <w:rFonts w:eastAsia="仿宋_GB2312"/>
          <w:sz w:val="32"/>
          <w:szCs w:val="32"/>
        </w:rPr>
        <w:t>。</w:t>
      </w:r>
    </w:p>
    <w:p>
      <w:pPr>
        <w:widowControl/>
        <w:spacing w:line="560" w:lineRule="exact"/>
        <w:ind w:firstLine="640" w:firstLineChars="200"/>
        <w:rPr>
          <w:rFonts w:eastAsia="黑体"/>
          <w:sz w:val="32"/>
          <w:szCs w:val="32"/>
        </w:rPr>
      </w:pPr>
      <w:r>
        <w:rPr>
          <w:rFonts w:eastAsia="黑体"/>
          <w:sz w:val="32"/>
          <w:szCs w:val="32"/>
        </w:rPr>
        <w:t>四、国有资本经营预算支出情况</w:t>
      </w:r>
    </w:p>
    <w:p>
      <w:pPr>
        <w:widowControl/>
        <w:spacing w:line="560" w:lineRule="exact"/>
        <w:ind w:firstLine="640" w:firstLineChars="200"/>
        <w:rPr>
          <w:rFonts w:eastAsia="仿宋_GB2312"/>
          <w:sz w:val="32"/>
          <w:szCs w:val="32"/>
        </w:rPr>
      </w:pPr>
      <w:r>
        <w:rPr>
          <w:rFonts w:eastAsia="仿宋_GB2312"/>
          <w:sz w:val="32"/>
          <w:szCs w:val="32"/>
        </w:rPr>
        <w:t>2021年我院国有资本经营预算支出</w:t>
      </w:r>
      <w:r>
        <w:rPr>
          <w:rFonts w:hint="eastAsia" w:eastAsia="仿宋_GB2312"/>
          <w:sz w:val="32"/>
          <w:szCs w:val="32"/>
        </w:rPr>
        <w:t>0元</w:t>
      </w:r>
      <w:r>
        <w:rPr>
          <w:rFonts w:eastAsia="仿宋_GB2312"/>
          <w:sz w:val="32"/>
          <w:szCs w:val="32"/>
        </w:rPr>
        <w:t>。</w:t>
      </w:r>
    </w:p>
    <w:p>
      <w:pPr>
        <w:widowControl/>
        <w:spacing w:line="560" w:lineRule="exact"/>
        <w:ind w:firstLine="640" w:firstLineChars="200"/>
        <w:rPr>
          <w:rFonts w:eastAsia="黑体"/>
          <w:sz w:val="32"/>
          <w:szCs w:val="32"/>
        </w:rPr>
      </w:pPr>
      <w:r>
        <w:rPr>
          <w:rFonts w:eastAsia="黑体"/>
          <w:sz w:val="32"/>
          <w:szCs w:val="32"/>
        </w:rPr>
        <w:t>五、社会保险基金预算支出情况</w:t>
      </w:r>
    </w:p>
    <w:p>
      <w:pPr>
        <w:widowControl/>
        <w:spacing w:line="560" w:lineRule="exact"/>
        <w:ind w:firstLine="640" w:firstLineChars="200"/>
        <w:rPr>
          <w:rFonts w:eastAsia="仿宋_GB2312"/>
          <w:sz w:val="32"/>
          <w:szCs w:val="32"/>
        </w:rPr>
      </w:pPr>
      <w:r>
        <w:rPr>
          <w:rFonts w:eastAsia="仿宋_GB2312"/>
          <w:sz w:val="32"/>
          <w:szCs w:val="32"/>
        </w:rPr>
        <w:t>2021年我院社会保险基金预算支出</w:t>
      </w:r>
      <w:r>
        <w:rPr>
          <w:rFonts w:hint="eastAsia" w:eastAsia="仿宋_GB2312"/>
          <w:sz w:val="32"/>
          <w:szCs w:val="32"/>
        </w:rPr>
        <w:t>0元</w:t>
      </w:r>
      <w:r>
        <w:rPr>
          <w:rFonts w:eastAsia="仿宋_GB2312"/>
          <w:sz w:val="32"/>
          <w:szCs w:val="32"/>
        </w:rPr>
        <w:t>。</w:t>
      </w:r>
    </w:p>
    <w:p>
      <w:pPr>
        <w:widowControl/>
        <w:spacing w:line="560" w:lineRule="exact"/>
        <w:ind w:firstLine="640" w:firstLineChars="200"/>
        <w:rPr>
          <w:rFonts w:eastAsia="黑体"/>
          <w:sz w:val="32"/>
          <w:szCs w:val="32"/>
        </w:rPr>
      </w:pPr>
      <w:r>
        <w:rPr>
          <w:rFonts w:eastAsia="黑体"/>
          <w:sz w:val="32"/>
          <w:szCs w:val="32"/>
        </w:rPr>
        <w:t>六、单位整体支出绩效情况</w:t>
      </w:r>
    </w:p>
    <w:p>
      <w:pPr>
        <w:widowControl/>
        <w:spacing w:line="560" w:lineRule="exact"/>
        <w:ind w:firstLine="627" w:firstLineChars="196"/>
        <w:rPr>
          <w:rFonts w:eastAsia="楷体_GB2312"/>
          <w:bCs/>
          <w:sz w:val="32"/>
          <w:szCs w:val="32"/>
        </w:rPr>
      </w:pPr>
      <w:r>
        <w:rPr>
          <w:rFonts w:eastAsia="楷体_GB2312"/>
          <w:bCs/>
          <w:sz w:val="32"/>
          <w:szCs w:val="32"/>
        </w:rPr>
        <w:t>（一）整体支出情况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2021年我院收入合计6390.65万元（不含年初结转和结余325.56万元），比上年6621.75万元减少231.1万元，减少3.49%。总支出6108.83万元，比上年6872.52万元减少863.15万元，减少11.11%，</w:t>
      </w:r>
      <w:r>
        <w:rPr>
          <w:rFonts w:eastAsia="仿宋_GB2312"/>
          <w:sz w:val="32"/>
          <w:szCs w:val="32"/>
        </w:rPr>
        <w:t>年末财政项目结余和结转390.32万元。2021年年度预算资金执行率95.54%。</w:t>
      </w:r>
    </w:p>
    <w:p>
      <w:pPr>
        <w:widowControl/>
        <w:spacing w:line="560" w:lineRule="exact"/>
        <w:ind w:firstLine="627" w:firstLineChars="196"/>
        <w:rPr>
          <w:rFonts w:eastAsia="楷体_GB2312"/>
          <w:bCs/>
          <w:sz w:val="32"/>
          <w:szCs w:val="32"/>
        </w:rPr>
      </w:pPr>
      <w:r>
        <w:rPr>
          <w:rFonts w:eastAsia="楷体_GB2312"/>
          <w:sz w:val="32"/>
          <w:szCs w:val="32"/>
        </w:rPr>
        <w:t>（二）严格管控运行成本</w:t>
      </w:r>
    </w:p>
    <w:p>
      <w:pPr>
        <w:adjustRightInd w:val="0"/>
        <w:snapToGrid w:val="0"/>
        <w:spacing w:line="560" w:lineRule="exact"/>
        <w:ind w:firstLine="640" w:firstLineChars="200"/>
        <w:rPr>
          <w:rFonts w:eastAsia="仿宋_GB2312"/>
          <w:sz w:val="32"/>
          <w:szCs w:val="32"/>
        </w:rPr>
      </w:pPr>
      <w:r>
        <w:rPr>
          <w:rFonts w:eastAsia="仿宋_GB2312"/>
          <w:sz w:val="32"/>
          <w:szCs w:val="32"/>
        </w:rPr>
        <w:t>财政基本支出资金按照预算的安排，本着厉行节约，民生保障，重点扶持的原则，严格控制各项经费特别是三公经费的支出，保障了单位的正常运转，顺利完成了年度目标工作任务。</w:t>
      </w:r>
    </w:p>
    <w:p>
      <w:pPr>
        <w:adjustRightInd w:val="0"/>
        <w:snapToGrid w:val="0"/>
        <w:spacing w:line="560" w:lineRule="exact"/>
        <w:ind w:firstLine="640" w:firstLineChars="200"/>
        <w:rPr>
          <w:rFonts w:eastAsia="楷体_GB2312"/>
          <w:sz w:val="32"/>
          <w:szCs w:val="32"/>
        </w:rPr>
      </w:pPr>
      <w:r>
        <w:rPr>
          <w:rFonts w:eastAsia="楷体_GB2312"/>
          <w:sz w:val="32"/>
          <w:szCs w:val="32"/>
        </w:rPr>
        <w:t>（三）不断提高管理效率</w:t>
      </w:r>
    </w:p>
    <w:p>
      <w:pPr>
        <w:tabs>
          <w:tab w:val="left" w:pos="660"/>
        </w:tabs>
        <w:spacing w:line="560" w:lineRule="exact"/>
        <w:ind w:firstLine="627" w:firstLineChars="196"/>
        <w:rPr>
          <w:rFonts w:eastAsia="仿宋_GB2312"/>
          <w:sz w:val="32"/>
          <w:szCs w:val="32"/>
        </w:rPr>
      </w:pPr>
      <w:r>
        <w:rPr>
          <w:rFonts w:eastAsia="仿宋_GB2312"/>
          <w:sz w:val="32"/>
          <w:szCs w:val="32"/>
        </w:rPr>
        <w:t>财政项目支出资金专款专用，建立以预算为核心的管理体系，以资金为龙头的资金监管体系，严格按照项目资金管理办法，根据项目的具体实施情况，按规定的费用开支范围和标准对项目进行资金管控与成本核算，确保了项目的顺利开展，完成了既定的项目绩效目标。</w:t>
      </w:r>
    </w:p>
    <w:p>
      <w:pPr>
        <w:adjustRightInd w:val="0"/>
        <w:snapToGrid w:val="0"/>
        <w:spacing w:line="560" w:lineRule="exact"/>
        <w:ind w:firstLine="640" w:firstLineChars="200"/>
        <w:rPr>
          <w:rFonts w:eastAsia="楷体_GB2312"/>
          <w:sz w:val="32"/>
          <w:szCs w:val="32"/>
        </w:rPr>
      </w:pPr>
      <w:r>
        <w:rPr>
          <w:rFonts w:eastAsia="楷体_GB2312"/>
          <w:sz w:val="32"/>
          <w:szCs w:val="32"/>
        </w:rPr>
        <w:t>（四）持续增强履职效能</w:t>
      </w:r>
    </w:p>
    <w:p>
      <w:pPr>
        <w:tabs>
          <w:tab w:val="left" w:pos="660"/>
        </w:tabs>
        <w:spacing w:line="560" w:lineRule="exact"/>
        <w:ind w:firstLine="640" w:firstLineChars="200"/>
        <w:rPr>
          <w:rFonts w:eastAsia="仿宋_GB2312"/>
          <w:sz w:val="32"/>
          <w:szCs w:val="32"/>
        </w:rPr>
      </w:pPr>
      <w:r>
        <w:rPr>
          <w:rFonts w:eastAsia="仿宋_GB2312"/>
          <w:kern w:val="0"/>
          <w:sz w:val="32"/>
          <w:szCs w:val="32"/>
        </w:rPr>
        <w:t>作为一家综合性的地质</w:t>
      </w:r>
      <w:r>
        <w:rPr>
          <w:rFonts w:eastAsia="仿宋_GB2312"/>
          <w:sz w:val="32"/>
          <w:szCs w:val="32"/>
        </w:rPr>
        <w:t>勘查及科研单位，我院坚持以习近平新时代中国特色社会主义思想为指导，认真贯彻落实省委省政府、省地质院的决策部署，一手抓经济发展，一手抓改革对接，经济上继续坚持“技术领先 特色突出 综合发展”的产业发展思想；产业发展上进一步巩固、建立及拓展了一系列重大战略合作市场关系；科研创新上在项目、平台、奖项、论文、专著、专利等方面业绩突出；实现职工全就业，服务湖南省“三高四新”发展战略和省地质院“五大保障 三大支撑”的能力得到充分彰显。</w:t>
      </w:r>
    </w:p>
    <w:p>
      <w:pPr>
        <w:tabs>
          <w:tab w:val="left" w:pos="660"/>
        </w:tabs>
        <w:spacing w:line="560" w:lineRule="exact"/>
        <w:ind w:firstLine="627" w:firstLineChars="196"/>
        <w:rPr>
          <w:rFonts w:eastAsia="仿宋_GB2312"/>
          <w:kern w:val="0"/>
          <w:sz w:val="32"/>
          <w:szCs w:val="32"/>
        </w:rPr>
      </w:pPr>
      <w:r>
        <w:rPr>
          <w:rFonts w:eastAsia="楷体_GB2312"/>
          <w:kern w:val="0"/>
          <w:sz w:val="32"/>
          <w:szCs w:val="32"/>
        </w:rPr>
        <w:t>（五）引发良好社会效应</w:t>
      </w:r>
    </w:p>
    <w:p>
      <w:pPr>
        <w:tabs>
          <w:tab w:val="left" w:pos="660"/>
        </w:tabs>
        <w:spacing w:line="560" w:lineRule="exact"/>
        <w:ind w:firstLine="627" w:firstLineChars="196"/>
        <w:rPr>
          <w:rFonts w:eastAsia="仿宋_GB2312"/>
          <w:kern w:val="0"/>
          <w:sz w:val="32"/>
          <w:szCs w:val="32"/>
        </w:rPr>
      </w:pPr>
      <w:r>
        <w:rPr>
          <w:rFonts w:eastAsia="仿宋_GB2312"/>
          <w:kern w:val="0"/>
          <w:sz w:val="32"/>
          <w:szCs w:val="32"/>
        </w:rPr>
        <w:t>1.承担的“贵州威宁-水城地区页岩气调查井”“湖南省石墨资源调查评价与靶区优选”“湖南省会同县王家矿区金矿预查”“湖南省安化县山牛塘矿区饰面用冰碛岩详查”“张家界市永定区1：1万地质灾害调查和风险评价”“石门县三圣乡白临桥村老光岩滑坡地质灾害治理”等一批地质勘查及地灾项目为国家及我省资源能源保障、生态文明建设、地质灾害防治等工作做出了应有贡献。</w:t>
      </w:r>
    </w:p>
    <w:p>
      <w:pPr>
        <w:tabs>
          <w:tab w:val="left" w:pos="660"/>
        </w:tabs>
        <w:spacing w:line="560" w:lineRule="exact"/>
        <w:ind w:firstLine="627" w:firstLineChars="196"/>
        <w:rPr>
          <w:rFonts w:eastAsia="仿宋_GB2312"/>
          <w:kern w:val="0"/>
          <w:sz w:val="32"/>
          <w:szCs w:val="32"/>
        </w:rPr>
      </w:pPr>
      <w:r>
        <w:rPr>
          <w:rFonts w:eastAsia="仿宋_GB2312"/>
          <w:kern w:val="0"/>
          <w:sz w:val="32"/>
          <w:szCs w:val="32"/>
        </w:rPr>
        <w:t>2.承担的县级财政中深层地热项目“新化县西河地下热水资源可行性勘查”已完成两个浅钻施工，实现了中深层地下热水的重大发现，将有力地推动当地的旅游资源的开发和利用，造福当地社会和经济。</w:t>
      </w:r>
    </w:p>
    <w:p>
      <w:pPr>
        <w:tabs>
          <w:tab w:val="left" w:pos="660"/>
        </w:tabs>
        <w:spacing w:line="560" w:lineRule="exact"/>
        <w:ind w:firstLine="627" w:firstLineChars="196"/>
        <w:rPr>
          <w:rFonts w:eastAsia="仿宋_GB2312"/>
          <w:kern w:val="0"/>
          <w:sz w:val="32"/>
          <w:szCs w:val="32"/>
        </w:rPr>
      </w:pPr>
      <w:r>
        <w:rPr>
          <w:rFonts w:eastAsia="仿宋_GB2312"/>
          <w:kern w:val="0"/>
          <w:sz w:val="32"/>
          <w:szCs w:val="32"/>
        </w:rPr>
        <w:t>3.提交的一批村庄规划、国土变更调查、土地综合治理、房地一体不动产确权等项目成果为我省国土空间规划提供了重要依据。</w:t>
      </w:r>
    </w:p>
    <w:p>
      <w:pPr>
        <w:spacing w:line="560" w:lineRule="exact"/>
        <w:ind w:firstLine="642"/>
      </w:pPr>
      <w:r>
        <w:rPr>
          <w:rFonts w:eastAsia="仿宋_GB2312"/>
          <w:kern w:val="0"/>
          <w:sz w:val="32"/>
          <w:szCs w:val="32"/>
        </w:rPr>
        <w:t>4.在地勘改革过程中，坚持“看好自己的门，管好自己的人，做好自己的事”的基本方针，顺应改革，向职工做好正面宣传解释，工作中与省地质院及物化所做到步调一致、协调配合、衔接有序，不造谣、不传谣，全年无一人上访，确保了职工队伍的稳定。</w:t>
      </w:r>
    </w:p>
    <w:p>
      <w:pPr>
        <w:tabs>
          <w:tab w:val="left" w:pos="660"/>
        </w:tabs>
        <w:spacing w:line="560" w:lineRule="exact"/>
        <w:ind w:firstLine="627" w:firstLineChars="196"/>
        <w:rPr>
          <w:rFonts w:eastAsia="楷体_GB2312"/>
          <w:kern w:val="0"/>
          <w:sz w:val="32"/>
          <w:szCs w:val="32"/>
        </w:rPr>
      </w:pPr>
      <w:r>
        <w:rPr>
          <w:rFonts w:hAnsi="楷体_GB2312" w:eastAsia="楷体_GB2312"/>
          <w:kern w:val="0"/>
          <w:sz w:val="32"/>
          <w:szCs w:val="32"/>
        </w:rPr>
        <w:t>（六）有力确保可持续发展能力</w:t>
      </w:r>
    </w:p>
    <w:p>
      <w:pPr>
        <w:tabs>
          <w:tab w:val="left" w:pos="660"/>
        </w:tabs>
        <w:spacing w:line="560" w:lineRule="exact"/>
        <w:ind w:firstLine="627" w:firstLineChars="196"/>
        <w:rPr>
          <w:rFonts w:eastAsia="仿宋_GB2312"/>
          <w:kern w:val="0"/>
          <w:sz w:val="32"/>
          <w:szCs w:val="32"/>
        </w:rPr>
      </w:pPr>
      <w:r>
        <w:rPr>
          <w:rFonts w:eastAsia="仿宋_GB2312"/>
          <w:kern w:val="0"/>
          <w:sz w:val="32"/>
          <w:szCs w:val="32"/>
        </w:rPr>
        <w:t>在单位改革发展的过程中，始终抓住产业发展主线，抓市场、抓项目，把抓住及拓展与中国地调局、省自然资源厅和省应急管理厅、铁路设计院、省高速公路集团、省煤科院、省发展集团矿业公司等重要单位的战略合作伙伴关系作为产业发展重点，同时抓好市县市场，确保产业可持续发展。</w:t>
      </w:r>
    </w:p>
    <w:p>
      <w:pPr>
        <w:tabs>
          <w:tab w:val="left" w:pos="660"/>
        </w:tabs>
        <w:spacing w:line="560" w:lineRule="exact"/>
        <w:ind w:firstLine="627" w:firstLineChars="196"/>
        <w:rPr>
          <w:rFonts w:eastAsia="楷体_GB2312"/>
          <w:kern w:val="0"/>
          <w:sz w:val="32"/>
          <w:szCs w:val="32"/>
        </w:rPr>
      </w:pPr>
      <w:r>
        <w:rPr>
          <w:rFonts w:hAnsi="楷体_GB2312" w:eastAsia="楷体_GB2312"/>
          <w:kern w:val="0"/>
          <w:sz w:val="32"/>
          <w:szCs w:val="32"/>
        </w:rPr>
        <w:t>（七）真诚服务业主客户</w:t>
      </w:r>
    </w:p>
    <w:p>
      <w:pPr>
        <w:tabs>
          <w:tab w:val="left" w:pos="660"/>
        </w:tabs>
        <w:spacing w:line="560" w:lineRule="exact"/>
        <w:ind w:firstLine="627" w:firstLineChars="196"/>
        <w:rPr>
          <w:rFonts w:eastAsia="仿宋_GB2312"/>
          <w:kern w:val="0"/>
          <w:sz w:val="32"/>
          <w:szCs w:val="32"/>
        </w:rPr>
      </w:pPr>
      <w:r>
        <w:rPr>
          <w:rFonts w:eastAsia="仿宋_GB2312"/>
          <w:kern w:val="0"/>
          <w:sz w:val="32"/>
          <w:szCs w:val="32"/>
        </w:rPr>
        <w:t>以党建引领经济高质量发展，全面推进从严治党向纵深发展，不断提升干职员工的政治素养。以文明创建、模范职工之家创建、和平安单位创建为载体，通过职工技能大赛、“讲文明 树新风”、“道德讲堂”、青年志愿者服务、法制宣传等一系列活动增强职工的专业能力、文明素养、道德修养和服务意识，锻造“敬业 创新 和谐 卓越”的新湘煤勘精神。我院多年来保持省直文明机关、文明标兵单位荣誉称号，服务对象满意度达100%。</w:t>
      </w:r>
    </w:p>
    <w:p>
      <w:pPr>
        <w:widowControl/>
        <w:spacing w:line="560" w:lineRule="exact"/>
        <w:ind w:firstLine="640" w:firstLineChars="200"/>
        <w:rPr>
          <w:rFonts w:eastAsia="黑体"/>
          <w:sz w:val="32"/>
          <w:szCs w:val="32"/>
        </w:rPr>
      </w:pPr>
      <w:r>
        <w:rPr>
          <w:rFonts w:eastAsia="黑体"/>
          <w:sz w:val="32"/>
          <w:szCs w:val="32"/>
        </w:rPr>
        <w:t>七、存在的问题及原因分析</w:t>
      </w:r>
    </w:p>
    <w:p>
      <w:pPr>
        <w:widowControl/>
        <w:spacing w:line="560" w:lineRule="exact"/>
        <w:ind w:firstLine="640" w:firstLineChars="200"/>
        <w:rPr>
          <w:rFonts w:eastAsia="仿宋_GB2312"/>
          <w:sz w:val="32"/>
          <w:szCs w:val="32"/>
        </w:rPr>
      </w:pPr>
      <w:r>
        <w:rPr>
          <w:rFonts w:eastAsia="仿宋_GB2312"/>
          <w:sz w:val="32"/>
          <w:szCs w:val="32"/>
        </w:rPr>
        <w:t>在财政项目经费预算中，个别项目预算编制的合理性存在瑕疵，一定程度上影响了项目预算的执行。</w:t>
      </w:r>
    </w:p>
    <w:p>
      <w:pPr>
        <w:widowControl/>
        <w:spacing w:line="560" w:lineRule="exact"/>
        <w:ind w:firstLine="640" w:firstLineChars="200"/>
        <w:rPr>
          <w:rFonts w:eastAsia="黑体"/>
          <w:sz w:val="32"/>
          <w:szCs w:val="32"/>
        </w:rPr>
      </w:pPr>
      <w:r>
        <w:rPr>
          <w:rFonts w:eastAsia="黑体"/>
          <w:sz w:val="32"/>
          <w:szCs w:val="32"/>
        </w:rPr>
        <w:t>八、下一步改进措施</w:t>
      </w:r>
    </w:p>
    <w:p>
      <w:pPr>
        <w:tabs>
          <w:tab w:val="left" w:pos="660"/>
        </w:tabs>
        <w:spacing w:line="560" w:lineRule="exact"/>
        <w:ind w:firstLine="627" w:firstLineChars="196"/>
        <w:rPr>
          <w:rFonts w:eastAsia="仿宋_GB2312"/>
          <w:kern w:val="0"/>
          <w:sz w:val="32"/>
          <w:szCs w:val="32"/>
        </w:rPr>
      </w:pPr>
      <w:r>
        <w:rPr>
          <w:rFonts w:eastAsia="仿宋_GB2312"/>
          <w:kern w:val="0"/>
          <w:sz w:val="32"/>
          <w:szCs w:val="32"/>
        </w:rPr>
        <w:t>在以后的财政项目经费预算编制过程中，首先是认真学习预算编制政策，深入了解项目情况，为预算编制的准确性打好基础；其次要对项目预算收支做好分析和评估，提高预算编制的完整性；最后要加强预算编制的审核和监管，多环节把握预算编制的合理性与有效性。通过强化预算编制、规范预算支出管理，确保预算的有效执行。</w:t>
      </w:r>
    </w:p>
    <w:p>
      <w:pPr>
        <w:widowControl/>
        <w:spacing w:line="560" w:lineRule="exact"/>
        <w:ind w:firstLine="640" w:firstLineChars="200"/>
        <w:rPr>
          <w:rFonts w:eastAsia="黑体"/>
          <w:sz w:val="32"/>
          <w:szCs w:val="32"/>
        </w:rPr>
      </w:pPr>
      <w:r>
        <w:rPr>
          <w:rFonts w:eastAsia="黑体"/>
          <w:sz w:val="32"/>
          <w:szCs w:val="32"/>
        </w:rPr>
        <w:t>九、部门整体支出绩效自评结果拟应用和公开情况</w:t>
      </w:r>
    </w:p>
    <w:p>
      <w:pPr>
        <w:widowControl/>
        <w:spacing w:after="156" w:afterLines="50" w:line="560" w:lineRule="exact"/>
        <w:ind w:firstLine="640" w:firstLineChars="200"/>
        <w:rPr>
          <w:rFonts w:eastAsia="黑体"/>
          <w:sz w:val="32"/>
          <w:szCs w:val="32"/>
        </w:rPr>
      </w:pPr>
      <w:r>
        <w:rPr>
          <w:rFonts w:eastAsia="仿宋_GB2312"/>
          <w:sz w:val="32"/>
          <w:szCs w:val="32"/>
        </w:rPr>
        <w:t>针对绩效自评过程中发现的问题，我院将积极改进，在以后的工作中进一步规范管理，扎实做好各项工作。同时根据省地质院统一部署和要求，对2021年整体支出绩效自评报告进行公开。</w:t>
      </w:r>
    </w:p>
    <w:p>
      <w:pPr>
        <w:spacing w:after="156" w:afterLines="50" w:line="560" w:lineRule="exact"/>
        <w:rPr>
          <w:rFonts w:eastAsia="仿宋_GB2312"/>
          <w:sz w:val="32"/>
          <w:szCs w:val="32"/>
        </w:rPr>
      </w:pPr>
      <w:r>
        <w:rPr>
          <w:rFonts w:eastAsia="仿宋_GB2312"/>
          <w:sz w:val="32"/>
          <w:szCs w:val="32"/>
        </w:rPr>
        <w:t>附件：</w:t>
      </w:r>
    </w:p>
    <w:p>
      <w:pPr>
        <w:numPr>
          <w:ilvl w:val="0"/>
          <w:numId w:val="2"/>
        </w:numPr>
        <w:spacing w:after="156" w:afterLines="50" w:line="560" w:lineRule="exact"/>
        <w:rPr>
          <w:rFonts w:eastAsia="仿宋_GB2312"/>
          <w:sz w:val="32"/>
          <w:szCs w:val="32"/>
        </w:rPr>
      </w:pPr>
      <w:r>
        <w:rPr>
          <w:rFonts w:eastAsia="仿宋_GB2312"/>
          <w:sz w:val="32"/>
          <w:szCs w:val="32"/>
        </w:rPr>
        <w:t>2021年度单位整体支出绩效评价基础数据表</w:t>
      </w:r>
    </w:p>
    <w:p>
      <w:pPr>
        <w:widowControl/>
        <w:numPr>
          <w:ilvl w:val="0"/>
          <w:numId w:val="2"/>
        </w:numPr>
        <w:spacing w:after="156" w:afterLines="50" w:line="560" w:lineRule="exact"/>
        <w:rPr>
          <w:rFonts w:eastAsia="黑体"/>
          <w:sz w:val="32"/>
          <w:szCs w:val="32"/>
        </w:rPr>
      </w:pPr>
      <w:r>
        <w:rPr>
          <w:rFonts w:eastAsia="仿宋_GB2312"/>
          <w:sz w:val="32"/>
          <w:szCs w:val="32"/>
        </w:rPr>
        <w:t>2021年度单位整体支出绩效自评表</w:t>
      </w:r>
    </w:p>
    <w:p>
      <w:pPr>
        <w:widowControl/>
        <w:spacing w:after="156" w:afterLines="50" w:line="560" w:lineRule="exact"/>
        <w:rPr>
          <w:rFonts w:eastAsia="仿宋_GB2312"/>
          <w:sz w:val="32"/>
          <w:szCs w:val="32"/>
        </w:rPr>
      </w:pPr>
      <w:r>
        <w:rPr>
          <w:rFonts w:eastAsia="仿宋_GB2312"/>
          <w:sz w:val="32"/>
          <w:szCs w:val="32"/>
        </w:rPr>
        <w:t xml:space="preserve"> </w:t>
      </w:r>
    </w:p>
    <w:p>
      <w:pPr>
        <w:widowControl/>
        <w:spacing w:after="156" w:afterLines="50" w:line="560" w:lineRule="exact"/>
        <w:jc w:val="right"/>
        <w:rPr>
          <w:rFonts w:eastAsia="仿宋_GB2312"/>
          <w:sz w:val="32"/>
          <w:szCs w:val="32"/>
        </w:rPr>
      </w:pPr>
      <w:r>
        <w:rPr>
          <w:rFonts w:eastAsia="仿宋_GB2312"/>
          <w:sz w:val="32"/>
          <w:szCs w:val="32"/>
        </w:rPr>
        <w:t xml:space="preserve">湖南省煤炭地质勘查院      </w:t>
      </w:r>
    </w:p>
    <w:p>
      <w:pPr>
        <w:widowControl/>
        <w:spacing w:after="156" w:afterLines="50" w:line="560" w:lineRule="exact"/>
        <w:jc w:val="right"/>
        <w:rPr>
          <w:rFonts w:eastAsia="仿宋_GB2312"/>
          <w:sz w:val="32"/>
          <w:szCs w:val="32"/>
        </w:rPr>
      </w:pPr>
      <w:r>
        <w:rPr>
          <w:rFonts w:eastAsia="仿宋_GB2312"/>
          <w:sz w:val="32"/>
          <w:szCs w:val="32"/>
        </w:rPr>
        <w:t xml:space="preserve">2022年4月20日        </w:t>
      </w:r>
    </w:p>
    <w:p>
      <w:pPr>
        <w:spacing w:after="156" w:afterLines="50" w:line="560" w:lineRule="exact"/>
        <w:jc w:val="left"/>
        <w:rPr>
          <w:rFonts w:eastAsia="仿宋_GB2312"/>
          <w:sz w:val="32"/>
          <w:szCs w:val="32"/>
        </w:rPr>
      </w:pPr>
    </w:p>
    <w:p>
      <w:pPr>
        <w:widowControl/>
        <w:spacing w:after="156" w:afterLines="50" w:line="600" w:lineRule="exact"/>
        <w:jc w:val="left"/>
        <w:rPr>
          <w:rFonts w:eastAsia="黑体"/>
          <w:sz w:val="32"/>
          <w:szCs w:val="32"/>
        </w:rPr>
      </w:pPr>
      <w:r>
        <w:rPr>
          <w:rFonts w:eastAsia="黑体"/>
          <w:sz w:val="32"/>
          <w:szCs w:val="32"/>
        </w:rPr>
        <w:br w:type="page"/>
      </w:r>
      <w:r>
        <w:rPr>
          <w:rFonts w:eastAsia="黑体"/>
          <w:sz w:val="32"/>
          <w:szCs w:val="32"/>
        </w:rPr>
        <w:t>附件1</w:t>
      </w:r>
    </w:p>
    <w:p>
      <w:pPr>
        <w:spacing w:after="156" w:afterLines="50" w:line="600" w:lineRule="exact"/>
        <w:jc w:val="center"/>
        <w:rPr>
          <w:rFonts w:eastAsia="仿宋_GB2312"/>
          <w:kern w:val="0"/>
          <w:sz w:val="24"/>
        </w:rPr>
      </w:pPr>
      <w:r>
        <w:rPr>
          <w:rFonts w:eastAsia="方正小标宋_GBK"/>
          <w:kern w:val="0"/>
          <w:sz w:val="36"/>
          <w:szCs w:val="36"/>
        </w:rPr>
        <w:t>2021年度单位整体支出绩效评价基础数据表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szCs w:val="21"/>
              </w:rPr>
              <w:t>2021年实际在职人数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szCs w:val="21"/>
              </w:rPr>
              <w:t>控制率</w:t>
            </w:r>
          </w:p>
        </w:tc>
      </w:tr>
      <w:tr>
        <w:tblPrEx>
          <w:tblCellMar>
            <w:top w:w="0" w:type="dxa"/>
            <w:left w:w="108" w:type="dxa"/>
            <w:bottom w:w="0" w:type="dxa"/>
            <w:right w:w="108" w:type="dxa"/>
          </w:tblCellMar>
        </w:tblPrEx>
        <w:trPr>
          <w:trHeight w:val="334"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141</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98</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69.5%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2020年决算数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2021年预算数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2021年决算数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4.5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4.5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4.5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4.5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4.5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4.5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4.5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4.5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4.5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1101.63</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594.75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1076.05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569.75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25.58</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25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创新型省会建设专项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地勘事业发展专项（设备购置）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rPr>
                <w:rFonts w:eastAsia="仿宋_GB2312"/>
                <w:kern w:val="0"/>
                <w:szCs w:val="21"/>
              </w:rPr>
            </w:pPr>
            <w:r>
              <w:rPr>
                <w:rFonts w:eastAsia="仿宋_GB2312"/>
                <w:kern w:val="0"/>
                <w:szCs w:val="21"/>
              </w:rPr>
              <w:t>地勘事业发展专项（科研专项）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25.58</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1253.93</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1266.97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1266.77</w:t>
            </w:r>
          </w:p>
        </w:tc>
      </w:tr>
      <w:tr>
        <w:tblPrEx>
          <w:tblCellMar>
            <w:top w:w="0" w:type="dxa"/>
            <w:left w:w="108" w:type="dxa"/>
            <w:bottom w:w="0" w:type="dxa"/>
            <w:right w:w="108" w:type="dxa"/>
          </w:tblCellMar>
        </w:tblPrEx>
        <w:trPr>
          <w:trHeight w:val="259"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xml:space="preserve">  10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9.8</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9.8</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20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18</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18</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xml:space="preserve">  3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2</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2</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1266.97</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1266.77</w:t>
            </w:r>
          </w:p>
        </w:tc>
      </w:tr>
      <w:tr>
        <w:tblPrEx>
          <w:tblCellMar>
            <w:top w:w="0" w:type="dxa"/>
            <w:left w:w="108" w:type="dxa"/>
            <w:bottom w:w="0" w:type="dxa"/>
            <w:right w:w="108" w:type="dxa"/>
          </w:tblCellMar>
        </w:tblPrEx>
        <w:trPr>
          <w:trHeight w:val="725"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（2020年完工项目）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bCs/>
                <w:kern w:val="0"/>
                <w:szCs w:val="21"/>
              </w:rPr>
              <w:t>㎡</w:t>
            </w:r>
            <w:r>
              <w:rPr>
                <w:rFonts w:eastAsia="仿宋_GB2312"/>
                <w:bCs/>
                <w:kern w:val="0"/>
                <w:szCs w:val="21"/>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eastAsia="仿宋_GB2312"/>
                <w:bCs/>
                <w:kern w:val="0"/>
                <w:szCs w:val="21"/>
              </w:rPr>
              <w:t>实际规模（</w:t>
            </w:r>
            <w:r>
              <w:rPr>
                <w:bCs/>
                <w:kern w:val="0"/>
                <w:szCs w:val="21"/>
              </w:rPr>
              <w:t>㎡</w:t>
            </w:r>
            <w:r>
              <w:rPr>
                <w:rFonts w:eastAsia="仿宋_GB2312"/>
                <w:bCs/>
                <w:kern w:val="0"/>
                <w:szCs w:val="21"/>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CellMar>
            <w:top w:w="0" w:type="dxa"/>
            <w:left w:w="108" w:type="dxa"/>
            <w:bottom w:w="0" w:type="dxa"/>
            <w:right w:w="108" w:type="dxa"/>
          </w:tblCellMar>
        </w:tblPrEx>
        <w:trPr>
          <w:trHeight w:val="483"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18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0</w:t>
            </w:r>
          </w:p>
        </w:tc>
        <w:tc>
          <w:tcPr>
            <w:tcW w:w="84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0</w:t>
            </w:r>
          </w:p>
        </w:tc>
        <w:tc>
          <w:tcPr>
            <w:tcW w:w="112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0</w:t>
            </w:r>
          </w:p>
        </w:tc>
        <w:tc>
          <w:tcPr>
            <w:tcW w:w="111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0</w:t>
            </w:r>
          </w:p>
        </w:tc>
        <w:tc>
          <w:tcPr>
            <w:tcW w:w="96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0</w:t>
            </w:r>
          </w:p>
        </w:tc>
        <w:tc>
          <w:tcPr>
            <w:tcW w:w="863"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1128"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　1、各项支出严格按预算执行；2、严格执行三公经费管理的各项规定，不得突破支出标准；3、资产的购置按规定审批，在配置限额标准内购置；4、制定费用管理办法，实行费用归口管理。</w:t>
            </w:r>
          </w:p>
        </w:tc>
      </w:tr>
    </w:tbl>
    <w:p>
      <w:pPr>
        <w:widowControl/>
        <w:spacing w:after="312" w:afterLines="100"/>
        <w:ind w:left="-140" w:leftChars="-67"/>
        <w:jc w:val="left"/>
        <w:rPr>
          <w:rFonts w:eastAsia="仿宋_GB2312"/>
          <w:kern w:val="0"/>
          <w:sz w:val="22"/>
        </w:rPr>
      </w:pPr>
      <w:r>
        <w:rPr>
          <w:rFonts w:eastAsia="仿宋_GB2312"/>
          <w:kern w:val="0"/>
          <w:sz w:val="22"/>
        </w:rPr>
        <w:t>说明：“项目支出”需要填报基本支出以外的所有项目支出情况，“公用经费”填报基本支出中的一般商品和服务支出。</w:t>
      </w:r>
    </w:p>
    <w:p>
      <w:pPr>
        <w:widowControl/>
        <w:ind w:left="-140" w:leftChars="-67"/>
        <w:jc w:val="left"/>
        <w:rPr>
          <w:rFonts w:eastAsia="仿宋_GB2312"/>
          <w:kern w:val="0"/>
          <w:sz w:val="22"/>
        </w:rPr>
      </w:pPr>
      <w:r>
        <w:rPr>
          <w:rFonts w:eastAsia="仿宋_GB2312"/>
          <w:kern w:val="0"/>
          <w:sz w:val="22"/>
        </w:rPr>
        <w:t>填表人：谭红燕  填报日期：2022年4月20日 电话：13467318006  单位负责人签字：</w:t>
      </w:r>
      <w:r>
        <w:rPr>
          <w:rFonts w:eastAsia="仿宋_GB2312"/>
          <w:kern w:val="0"/>
          <w:sz w:val="22"/>
        </w:rPr>
        <w:br w:type="page"/>
      </w:r>
      <w:r>
        <w:rPr>
          <w:rFonts w:eastAsia="黑体"/>
          <w:sz w:val="32"/>
          <w:szCs w:val="32"/>
        </w:rPr>
        <w:t>附件2</w:t>
      </w:r>
    </w:p>
    <w:p>
      <w:pPr>
        <w:widowControl/>
        <w:spacing w:after="156" w:afterLines="50" w:line="400" w:lineRule="exact"/>
        <w:jc w:val="center"/>
        <w:rPr>
          <w:rFonts w:eastAsia="方正小标宋_GBK"/>
          <w:kern w:val="0"/>
          <w:sz w:val="36"/>
          <w:szCs w:val="36"/>
        </w:rPr>
      </w:pPr>
      <w:r>
        <w:rPr>
          <w:rFonts w:eastAsia="方正小标宋_GBK"/>
          <w:kern w:val="0"/>
          <w:sz w:val="36"/>
          <w:szCs w:val="36"/>
        </w:rPr>
        <w:t>2021年度单位整体支出绩效自评表</w:t>
      </w:r>
    </w:p>
    <w:tbl>
      <w:tblPr>
        <w:tblStyle w:val="5"/>
        <w:tblW w:w="9993" w:type="dxa"/>
        <w:jc w:val="center"/>
        <w:tblLayout w:type="autofit"/>
        <w:tblCellMar>
          <w:top w:w="0" w:type="dxa"/>
          <w:left w:w="108" w:type="dxa"/>
          <w:bottom w:w="0" w:type="dxa"/>
          <w:right w:w="108" w:type="dxa"/>
        </w:tblCellMar>
      </w:tblPr>
      <w:tblGrid>
        <w:gridCol w:w="1013"/>
        <w:gridCol w:w="909"/>
        <w:gridCol w:w="1201"/>
        <w:gridCol w:w="1085"/>
        <w:gridCol w:w="755"/>
        <w:gridCol w:w="1041"/>
        <w:gridCol w:w="1085"/>
        <w:gridCol w:w="816"/>
        <w:gridCol w:w="1017"/>
        <w:gridCol w:w="1071"/>
      </w:tblGrid>
      <w:tr>
        <w:tblPrEx>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省级预算部门名称</w:t>
            </w:r>
          </w:p>
        </w:tc>
        <w:tc>
          <w:tcPr>
            <w:tcW w:w="8931"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　湖南省煤炭地质勘查院</w:t>
            </w:r>
          </w:p>
        </w:tc>
      </w:tr>
      <w:tr>
        <w:tblPrEx>
          <w:tblCellMar>
            <w:top w:w="0" w:type="dxa"/>
            <w:left w:w="108" w:type="dxa"/>
            <w:bottom w:w="0" w:type="dxa"/>
            <w:right w:w="108" w:type="dxa"/>
          </w:tblCellMar>
        </w:tblPrEx>
        <w:trPr>
          <w:trHeight w:val="447" w:hRule="atLeast"/>
          <w:jc w:val="center"/>
        </w:trPr>
        <w:tc>
          <w:tcPr>
            <w:tcW w:w="1062"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年度预</w:t>
            </w:r>
          </w:p>
          <w:p>
            <w:pPr>
              <w:widowControl/>
              <w:spacing w:line="240" w:lineRule="exact"/>
              <w:jc w:val="center"/>
              <w:rPr>
                <w:rFonts w:eastAsia="仿宋_GB2312"/>
                <w:kern w:val="0"/>
                <w:szCs w:val="21"/>
              </w:rPr>
            </w:pPr>
            <w:r>
              <w:rPr>
                <w:rFonts w:eastAsia="仿宋_GB2312"/>
                <w:kern w:val="0"/>
                <w:szCs w:val="21"/>
              </w:rPr>
              <w:t>算申请</w:t>
            </w:r>
          </w:p>
          <w:p>
            <w:pPr>
              <w:widowControl/>
              <w:spacing w:line="240" w:lineRule="exact"/>
              <w:jc w:val="center"/>
              <w:rPr>
                <w:rFonts w:eastAsia="仿宋_GB2312"/>
                <w:kern w:val="0"/>
                <w:szCs w:val="21"/>
              </w:rPr>
            </w:pPr>
            <w:r>
              <w:rPr>
                <w:rFonts w:eastAsia="仿宋_GB2312"/>
                <w:kern w:val="0"/>
                <w:szCs w:val="21"/>
              </w:rPr>
              <w:t>（万元）</w:t>
            </w:r>
          </w:p>
        </w:tc>
        <w:tc>
          <w:tcPr>
            <w:tcW w:w="2235"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p>
        </w:tc>
        <w:tc>
          <w:tcPr>
            <w:tcW w:w="1007"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年初</w:t>
            </w:r>
          </w:p>
          <w:p>
            <w:pPr>
              <w:spacing w:line="240" w:lineRule="exact"/>
              <w:jc w:val="center"/>
              <w:rPr>
                <w:rFonts w:eastAsia="仿宋_GB2312"/>
                <w:szCs w:val="21"/>
              </w:rPr>
            </w:pPr>
            <w:r>
              <w:rPr>
                <w:rFonts w:eastAsia="仿宋_GB2312"/>
                <w:szCs w:val="21"/>
              </w:rPr>
              <w:t>预算数</w:t>
            </w:r>
          </w:p>
        </w:tc>
        <w:tc>
          <w:tcPr>
            <w:tcW w:w="1886"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全年预算数</w:t>
            </w:r>
          </w:p>
        </w:tc>
        <w:tc>
          <w:tcPr>
            <w:tcW w:w="969"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全年执行数</w:t>
            </w:r>
          </w:p>
        </w:tc>
        <w:tc>
          <w:tcPr>
            <w:tcW w:w="841"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分值</w:t>
            </w:r>
          </w:p>
        </w:tc>
        <w:tc>
          <w:tcPr>
            <w:tcW w:w="847"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执行率</w:t>
            </w:r>
          </w:p>
        </w:tc>
        <w:tc>
          <w:tcPr>
            <w:tcW w:w="114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79" w:hRule="atLeast"/>
          <w:jc w:val="center"/>
        </w:trPr>
        <w:tc>
          <w:tcPr>
            <w:tcW w:w="1062" w:type="dxa"/>
            <w:vMerge w:val="continue"/>
            <w:tcBorders>
              <w:top w:val="nil"/>
              <w:left w:val="single" w:color="auto" w:sz="4" w:space="0"/>
              <w:right w:val="single" w:color="auto" w:sz="4" w:space="0"/>
            </w:tcBorders>
            <w:vAlign w:val="center"/>
          </w:tcPr>
          <w:p>
            <w:pPr>
              <w:widowControl/>
              <w:spacing w:line="240" w:lineRule="exact"/>
              <w:jc w:val="center"/>
              <w:rPr>
                <w:rFonts w:eastAsia="仿宋_GB2312"/>
                <w:kern w:val="0"/>
                <w:szCs w:val="21"/>
              </w:rPr>
            </w:pPr>
          </w:p>
        </w:tc>
        <w:tc>
          <w:tcPr>
            <w:tcW w:w="2235"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kern w:val="0"/>
                <w:szCs w:val="21"/>
              </w:rPr>
              <w:t>年度资金总额</w:t>
            </w:r>
          </w:p>
        </w:tc>
        <w:tc>
          <w:tcPr>
            <w:tcW w:w="1007"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1266.97</w:t>
            </w:r>
          </w:p>
        </w:tc>
        <w:tc>
          <w:tcPr>
            <w:tcW w:w="1886"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1926.28</w:t>
            </w:r>
          </w:p>
        </w:tc>
        <w:tc>
          <w:tcPr>
            <w:tcW w:w="969"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1840.42</w:t>
            </w:r>
          </w:p>
        </w:tc>
        <w:tc>
          <w:tcPr>
            <w:tcW w:w="841"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10</w:t>
            </w:r>
          </w:p>
        </w:tc>
        <w:tc>
          <w:tcPr>
            <w:tcW w:w="847"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95.54%</w:t>
            </w:r>
          </w:p>
        </w:tc>
        <w:tc>
          <w:tcPr>
            <w:tcW w:w="114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10</w:t>
            </w:r>
          </w:p>
        </w:tc>
      </w:tr>
      <w:tr>
        <w:tblPrEx>
          <w:tblCellMar>
            <w:top w:w="0" w:type="dxa"/>
            <w:left w:w="108" w:type="dxa"/>
            <w:bottom w:w="0" w:type="dxa"/>
            <w:right w:w="108" w:type="dxa"/>
          </w:tblCellMar>
        </w:tblPrEx>
        <w:trPr>
          <w:trHeight w:val="412" w:hRule="atLeast"/>
          <w:jc w:val="center"/>
        </w:trPr>
        <w:tc>
          <w:tcPr>
            <w:tcW w:w="1062" w:type="dxa"/>
            <w:vMerge w:val="continue"/>
            <w:tcBorders>
              <w:left w:val="single" w:color="auto" w:sz="4" w:space="0"/>
              <w:right w:val="single" w:color="auto" w:sz="4" w:space="0"/>
            </w:tcBorders>
            <w:vAlign w:val="center"/>
          </w:tcPr>
          <w:p>
            <w:pPr>
              <w:widowControl/>
              <w:spacing w:line="240" w:lineRule="exact"/>
              <w:jc w:val="left"/>
              <w:rPr>
                <w:rFonts w:eastAsia="仿宋_GB2312"/>
                <w:kern w:val="0"/>
                <w:szCs w:val="21"/>
              </w:rPr>
            </w:pPr>
          </w:p>
        </w:tc>
        <w:tc>
          <w:tcPr>
            <w:tcW w:w="512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按收入性质分：</w:t>
            </w:r>
          </w:p>
        </w:tc>
        <w:tc>
          <w:tcPr>
            <w:tcW w:w="3803"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按支出性质分：</w:t>
            </w:r>
          </w:p>
        </w:tc>
      </w:tr>
      <w:tr>
        <w:tblPrEx>
          <w:tblCellMar>
            <w:top w:w="0" w:type="dxa"/>
            <w:left w:w="108" w:type="dxa"/>
            <w:bottom w:w="0" w:type="dxa"/>
            <w:right w:w="108" w:type="dxa"/>
          </w:tblCellMar>
        </w:tblPrEx>
        <w:trPr>
          <w:trHeight w:val="418" w:hRule="atLeast"/>
          <w:jc w:val="center"/>
        </w:trPr>
        <w:tc>
          <w:tcPr>
            <w:tcW w:w="1062" w:type="dxa"/>
            <w:vMerge w:val="continue"/>
            <w:tcBorders>
              <w:left w:val="single" w:color="auto" w:sz="4" w:space="0"/>
              <w:right w:val="single" w:color="auto" w:sz="4" w:space="0"/>
            </w:tcBorders>
            <w:vAlign w:val="center"/>
          </w:tcPr>
          <w:p>
            <w:pPr>
              <w:widowControl/>
              <w:spacing w:line="240" w:lineRule="exact"/>
              <w:jc w:val="left"/>
              <w:rPr>
                <w:rFonts w:eastAsia="仿宋_GB2312"/>
                <w:kern w:val="0"/>
                <w:szCs w:val="21"/>
              </w:rPr>
            </w:pPr>
          </w:p>
        </w:tc>
        <w:tc>
          <w:tcPr>
            <w:tcW w:w="512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xml:space="preserve">  其中：  一般公共预算：1926.28</w:t>
            </w:r>
          </w:p>
        </w:tc>
        <w:tc>
          <w:tcPr>
            <w:tcW w:w="3803"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其中：基本支出：1266.77</w:t>
            </w:r>
          </w:p>
        </w:tc>
      </w:tr>
      <w:tr>
        <w:tblPrEx>
          <w:tblCellMar>
            <w:top w:w="0" w:type="dxa"/>
            <w:left w:w="108" w:type="dxa"/>
            <w:bottom w:w="0" w:type="dxa"/>
            <w:right w:w="108" w:type="dxa"/>
          </w:tblCellMar>
        </w:tblPrEx>
        <w:trPr>
          <w:trHeight w:val="423" w:hRule="atLeast"/>
          <w:jc w:val="center"/>
        </w:trPr>
        <w:tc>
          <w:tcPr>
            <w:tcW w:w="1062" w:type="dxa"/>
            <w:vMerge w:val="continue"/>
            <w:tcBorders>
              <w:left w:val="single" w:color="auto" w:sz="4" w:space="0"/>
              <w:right w:val="single" w:color="auto" w:sz="4" w:space="0"/>
            </w:tcBorders>
            <w:vAlign w:val="center"/>
          </w:tcPr>
          <w:p>
            <w:pPr>
              <w:widowControl/>
              <w:spacing w:line="240" w:lineRule="exact"/>
              <w:jc w:val="left"/>
              <w:rPr>
                <w:rFonts w:eastAsia="仿宋_GB2312"/>
                <w:kern w:val="0"/>
                <w:szCs w:val="21"/>
              </w:rPr>
            </w:pPr>
          </w:p>
        </w:tc>
        <w:tc>
          <w:tcPr>
            <w:tcW w:w="512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政府性基金拨款：0</w:t>
            </w:r>
          </w:p>
        </w:tc>
        <w:tc>
          <w:tcPr>
            <w:tcW w:w="3803"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项目支出：573.65</w:t>
            </w:r>
          </w:p>
        </w:tc>
      </w:tr>
      <w:tr>
        <w:tblPrEx>
          <w:tblCellMar>
            <w:top w:w="0" w:type="dxa"/>
            <w:left w:w="108" w:type="dxa"/>
            <w:bottom w:w="0" w:type="dxa"/>
            <w:right w:w="108" w:type="dxa"/>
          </w:tblCellMar>
        </w:tblPrEx>
        <w:trPr>
          <w:trHeight w:val="415" w:hRule="atLeast"/>
          <w:jc w:val="center"/>
        </w:trPr>
        <w:tc>
          <w:tcPr>
            <w:tcW w:w="1062" w:type="dxa"/>
            <w:vMerge w:val="continue"/>
            <w:tcBorders>
              <w:left w:val="single" w:color="auto" w:sz="4" w:space="0"/>
              <w:right w:val="single" w:color="auto" w:sz="4" w:space="0"/>
            </w:tcBorders>
            <w:vAlign w:val="center"/>
          </w:tcPr>
          <w:p>
            <w:pPr>
              <w:widowControl/>
              <w:spacing w:line="240" w:lineRule="exact"/>
              <w:jc w:val="left"/>
              <w:rPr>
                <w:rFonts w:eastAsia="仿宋_GB2312"/>
                <w:kern w:val="0"/>
                <w:szCs w:val="21"/>
              </w:rPr>
            </w:pPr>
          </w:p>
        </w:tc>
        <w:tc>
          <w:tcPr>
            <w:tcW w:w="512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纳入专户管理的非税收入拨款：0</w:t>
            </w:r>
          </w:p>
        </w:tc>
        <w:tc>
          <w:tcPr>
            <w:tcW w:w="3803"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p>
        </w:tc>
      </w:tr>
      <w:tr>
        <w:tblPrEx>
          <w:tblCellMar>
            <w:top w:w="0" w:type="dxa"/>
            <w:left w:w="108" w:type="dxa"/>
            <w:bottom w:w="0" w:type="dxa"/>
            <w:right w:w="108" w:type="dxa"/>
          </w:tblCellMar>
        </w:tblPrEx>
        <w:trPr>
          <w:trHeight w:val="408" w:hRule="atLeast"/>
          <w:jc w:val="center"/>
        </w:trPr>
        <w:tc>
          <w:tcPr>
            <w:tcW w:w="1062"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eastAsia="仿宋_GB2312"/>
                <w:kern w:val="0"/>
                <w:szCs w:val="21"/>
              </w:rPr>
            </w:pPr>
          </w:p>
        </w:tc>
        <w:tc>
          <w:tcPr>
            <w:tcW w:w="512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其他资金：0</w:t>
            </w:r>
          </w:p>
        </w:tc>
        <w:tc>
          <w:tcPr>
            <w:tcW w:w="3803"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p>
        </w:tc>
      </w:tr>
      <w:tr>
        <w:tblPrEx>
          <w:tblCellMar>
            <w:top w:w="0" w:type="dxa"/>
            <w:left w:w="108" w:type="dxa"/>
            <w:bottom w:w="0" w:type="dxa"/>
            <w:right w:w="108" w:type="dxa"/>
          </w:tblCellMar>
        </w:tblPrEx>
        <w:trPr>
          <w:trHeight w:val="414" w:hRule="atLeast"/>
          <w:jc w:val="center"/>
        </w:trPr>
        <w:tc>
          <w:tcPr>
            <w:tcW w:w="1062"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年度总体目标</w:t>
            </w:r>
          </w:p>
        </w:tc>
        <w:tc>
          <w:tcPr>
            <w:tcW w:w="5128"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kern w:val="0"/>
                <w:szCs w:val="21"/>
              </w:rPr>
            </w:pPr>
            <w:r>
              <w:rPr>
                <w:rFonts w:eastAsia="仿宋_GB2312"/>
                <w:kern w:val="0"/>
                <w:szCs w:val="21"/>
              </w:rPr>
              <w:t>预期目标</w:t>
            </w:r>
          </w:p>
        </w:tc>
        <w:tc>
          <w:tcPr>
            <w:tcW w:w="3803"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实际完成情况　</w:t>
            </w:r>
          </w:p>
        </w:tc>
      </w:tr>
      <w:tr>
        <w:tblPrEx>
          <w:tblCellMar>
            <w:top w:w="0" w:type="dxa"/>
            <w:left w:w="108" w:type="dxa"/>
            <w:bottom w:w="0" w:type="dxa"/>
            <w:right w:w="108" w:type="dxa"/>
          </w:tblCellMar>
        </w:tblPrEx>
        <w:trPr>
          <w:trHeight w:val="566" w:hRule="atLeast"/>
          <w:jc w:val="center"/>
        </w:trPr>
        <w:tc>
          <w:tcPr>
            <w:tcW w:w="106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仿宋_GB2312"/>
                <w:kern w:val="0"/>
                <w:szCs w:val="21"/>
              </w:rPr>
            </w:pPr>
          </w:p>
        </w:tc>
        <w:tc>
          <w:tcPr>
            <w:tcW w:w="5128"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kern w:val="0"/>
                <w:szCs w:val="21"/>
              </w:rPr>
            </w:pPr>
            <w:r>
              <w:rPr>
                <w:rFonts w:eastAsia="仿宋_GB2312"/>
                <w:kern w:val="0"/>
                <w:szCs w:val="21"/>
              </w:rPr>
              <w:t>　　党建工作持续加强，地质工作有为有效，经济运行平稳过渡，队伍建设和谐稳定</w:t>
            </w:r>
          </w:p>
        </w:tc>
        <w:tc>
          <w:tcPr>
            <w:tcW w:w="3803"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按照年度总体目标，有序推进各项工作，已完成预期目标。</w:t>
            </w:r>
          </w:p>
        </w:tc>
      </w:tr>
      <w:tr>
        <w:tblPrEx>
          <w:tblCellMar>
            <w:top w:w="0" w:type="dxa"/>
            <w:left w:w="108" w:type="dxa"/>
            <w:bottom w:w="0" w:type="dxa"/>
            <w:right w:w="108" w:type="dxa"/>
          </w:tblCellMar>
        </w:tblPrEx>
        <w:trPr>
          <w:jc w:val="center"/>
        </w:trPr>
        <w:tc>
          <w:tcPr>
            <w:tcW w:w="1062"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绩</w:t>
            </w:r>
          </w:p>
          <w:p>
            <w:pPr>
              <w:widowControl/>
              <w:spacing w:line="240" w:lineRule="exact"/>
              <w:jc w:val="center"/>
              <w:rPr>
                <w:rFonts w:eastAsia="仿宋_GB2312"/>
                <w:kern w:val="0"/>
                <w:szCs w:val="21"/>
              </w:rPr>
            </w:pPr>
            <w:r>
              <w:rPr>
                <w:rFonts w:eastAsia="仿宋_GB2312"/>
                <w:kern w:val="0"/>
                <w:szCs w:val="21"/>
              </w:rPr>
              <w:t>效</w:t>
            </w:r>
          </w:p>
          <w:p>
            <w:pPr>
              <w:widowControl/>
              <w:spacing w:line="240" w:lineRule="exact"/>
              <w:jc w:val="center"/>
              <w:rPr>
                <w:rFonts w:eastAsia="仿宋_GB2312"/>
                <w:kern w:val="0"/>
                <w:szCs w:val="21"/>
              </w:rPr>
            </w:pPr>
            <w:r>
              <w:rPr>
                <w:rFonts w:eastAsia="仿宋_GB2312"/>
                <w:kern w:val="0"/>
                <w:szCs w:val="21"/>
              </w:rPr>
              <w:t>指</w:t>
            </w:r>
          </w:p>
          <w:p>
            <w:pPr>
              <w:widowControl/>
              <w:spacing w:line="240" w:lineRule="exact"/>
              <w:jc w:val="center"/>
              <w:rPr>
                <w:rFonts w:eastAsia="仿宋_GB2312"/>
                <w:kern w:val="0"/>
                <w:szCs w:val="21"/>
              </w:rPr>
            </w:pPr>
            <w:r>
              <w:rPr>
                <w:rFonts w:eastAsia="仿宋_GB2312"/>
                <w:kern w:val="0"/>
                <w:szCs w:val="21"/>
              </w:rPr>
              <w:t>标</w:t>
            </w:r>
          </w:p>
        </w:tc>
        <w:tc>
          <w:tcPr>
            <w:tcW w:w="936"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一级指标</w:t>
            </w:r>
          </w:p>
        </w:tc>
        <w:tc>
          <w:tcPr>
            <w:tcW w:w="129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二级指标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三级指标</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年度</w:t>
            </w:r>
          </w:p>
          <w:p>
            <w:pPr>
              <w:widowControl/>
              <w:spacing w:line="240" w:lineRule="exact"/>
              <w:jc w:val="center"/>
              <w:rPr>
                <w:rFonts w:eastAsia="仿宋_GB2312"/>
                <w:kern w:val="0"/>
                <w:szCs w:val="21"/>
              </w:rPr>
            </w:pPr>
            <w:r>
              <w:rPr>
                <w:rFonts w:eastAsia="仿宋_GB2312"/>
                <w:kern w:val="0"/>
                <w:szCs w:val="21"/>
              </w:rPr>
              <w:t>指标值</w:t>
            </w:r>
          </w:p>
        </w:tc>
        <w:tc>
          <w:tcPr>
            <w:tcW w:w="969" w:type="dxa"/>
            <w:tcBorders>
              <w:top w:val="nil"/>
              <w:left w:val="nil"/>
              <w:bottom w:val="single" w:color="auto" w:sz="4" w:space="0"/>
              <w:right w:val="single" w:color="auto" w:sz="4" w:space="0"/>
            </w:tcBorders>
            <w:vAlign w:val="center"/>
          </w:tcPr>
          <w:p>
            <w:pPr>
              <w:widowControl/>
              <w:spacing w:line="240" w:lineRule="exact"/>
              <w:rPr>
                <w:rFonts w:eastAsia="仿宋_GB2312"/>
                <w:kern w:val="0"/>
                <w:szCs w:val="21"/>
              </w:rPr>
            </w:pPr>
            <w:r>
              <w:rPr>
                <w:rFonts w:eastAsia="仿宋_GB2312"/>
                <w:kern w:val="0"/>
                <w:szCs w:val="21"/>
              </w:rPr>
              <w:t>实际完成值</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分值</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得分</w:t>
            </w:r>
          </w:p>
        </w:tc>
        <w:tc>
          <w:tcPr>
            <w:tcW w:w="1146"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偏差原因</w:t>
            </w:r>
          </w:p>
          <w:p>
            <w:pPr>
              <w:widowControl/>
              <w:spacing w:line="240" w:lineRule="exact"/>
              <w:jc w:val="center"/>
              <w:rPr>
                <w:rFonts w:eastAsia="仿宋_GB2312"/>
                <w:kern w:val="0"/>
                <w:szCs w:val="21"/>
              </w:rPr>
            </w:pPr>
            <w:r>
              <w:rPr>
                <w:rFonts w:eastAsia="仿宋_GB2312"/>
                <w:kern w:val="0"/>
                <w:szCs w:val="21"/>
              </w:rPr>
              <w:t>分析及</w:t>
            </w:r>
          </w:p>
          <w:p>
            <w:pPr>
              <w:widowControl/>
              <w:spacing w:line="240" w:lineRule="exact"/>
              <w:jc w:val="center"/>
              <w:rPr>
                <w:rFonts w:eastAsia="仿宋_GB2312"/>
                <w:kern w:val="0"/>
                <w:szCs w:val="21"/>
              </w:rPr>
            </w:pPr>
            <w:r>
              <w:rPr>
                <w:rFonts w:eastAsia="仿宋_GB2312"/>
                <w:kern w:val="0"/>
                <w:szCs w:val="21"/>
              </w:rPr>
              <w:t>改进措施</w:t>
            </w:r>
          </w:p>
        </w:tc>
      </w:tr>
      <w:tr>
        <w:tblPrEx>
          <w:tblCellMar>
            <w:top w:w="0" w:type="dxa"/>
            <w:left w:w="108" w:type="dxa"/>
            <w:bottom w:w="0" w:type="dxa"/>
            <w:right w:w="108" w:type="dxa"/>
          </w:tblCellMar>
        </w:tblPrEx>
        <w:trPr>
          <w:trHeight w:val="607"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restart"/>
            <w:tcBorders>
              <w:top w:val="nil"/>
              <w:left w:val="nil"/>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产出指标</w:t>
            </w:r>
          </w:p>
          <w:p>
            <w:pPr>
              <w:widowControl/>
              <w:spacing w:line="240" w:lineRule="exact"/>
              <w:jc w:val="center"/>
              <w:rPr>
                <w:rFonts w:eastAsia="仿宋_GB2312"/>
                <w:kern w:val="0"/>
                <w:szCs w:val="21"/>
              </w:rPr>
            </w:pPr>
            <w:r>
              <w:rPr>
                <w:rFonts w:eastAsia="仿宋_GB2312"/>
                <w:kern w:val="0"/>
                <w:szCs w:val="21"/>
              </w:rPr>
              <w:t xml:space="preserve"> (50分)</w:t>
            </w:r>
          </w:p>
        </w:tc>
        <w:tc>
          <w:tcPr>
            <w:tcW w:w="1299" w:type="dxa"/>
            <w:vMerge w:val="restart"/>
            <w:tcBorders>
              <w:top w:val="nil"/>
              <w:left w:val="nil"/>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数量指标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经营总收入完成率</w:t>
            </w:r>
          </w:p>
        </w:tc>
        <w:tc>
          <w:tcPr>
            <w:tcW w:w="1050"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100%</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104%</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15</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15</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569"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nil"/>
              <w:right w:val="single" w:color="auto" w:sz="4" w:space="0"/>
            </w:tcBorders>
            <w:vAlign w:val="center"/>
          </w:tcPr>
          <w:p>
            <w:pPr>
              <w:spacing w:line="240" w:lineRule="exact"/>
              <w:jc w:val="left"/>
              <w:rPr>
                <w:rFonts w:eastAsia="仿宋_GB2312"/>
                <w:kern w:val="0"/>
                <w:szCs w:val="21"/>
              </w:rPr>
            </w:pPr>
          </w:p>
        </w:tc>
        <w:tc>
          <w:tcPr>
            <w:tcW w:w="1299"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kern w:val="0"/>
                <w:szCs w:val="21"/>
              </w:rPr>
            </w:pP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年度重要工作任务完成率</w:t>
            </w:r>
          </w:p>
        </w:tc>
        <w:tc>
          <w:tcPr>
            <w:tcW w:w="1050"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100%</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15</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15</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633"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nil"/>
              <w:right w:val="single" w:color="auto" w:sz="4" w:space="0"/>
            </w:tcBorders>
            <w:vAlign w:val="center"/>
          </w:tcPr>
          <w:p>
            <w:pPr>
              <w:spacing w:line="240" w:lineRule="exact"/>
              <w:jc w:val="left"/>
              <w:rPr>
                <w:rFonts w:eastAsia="仿宋_GB2312"/>
                <w:kern w:val="0"/>
                <w:szCs w:val="21"/>
              </w:rPr>
            </w:pPr>
          </w:p>
        </w:tc>
        <w:tc>
          <w:tcPr>
            <w:tcW w:w="129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质量指标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hint="eastAsia" w:eastAsia="仿宋_GB2312"/>
                <w:kern w:val="0"/>
                <w:szCs w:val="21"/>
              </w:rPr>
              <w:t>技术成果</w:t>
            </w:r>
            <w:r>
              <w:rPr>
                <w:rFonts w:eastAsia="仿宋_GB2312"/>
                <w:kern w:val="0"/>
                <w:szCs w:val="21"/>
              </w:rPr>
              <w:t>优良率</w:t>
            </w:r>
          </w:p>
        </w:tc>
        <w:tc>
          <w:tcPr>
            <w:tcW w:w="1050"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r>
              <w:rPr>
                <w:rFonts w:hint="eastAsia" w:eastAsia="仿宋_GB2312"/>
                <w:kern w:val="0"/>
                <w:szCs w:val="21"/>
              </w:rPr>
              <w:t>90</w:t>
            </w:r>
            <w:r>
              <w:rPr>
                <w:rFonts w:eastAsia="仿宋_GB2312"/>
                <w:kern w:val="0"/>
                <w:szCs w:val="21"/>
              </w:rPr>
              <w:t>%</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p>
        </w:tc>
      </w:tr>
      <w:tr>
        <w:tblPrEx>
          <w:tblCellMar>
            <w:top w:w="0" w:type="dxa"/>
            <w:left w:w="108" w:type="dxa"/>
            <w:bottom w:w="0" w:type="dxa"/>
            <w:right w:w="108" w:type="dxa"/>
          </w:tblCellMar>
        </w:tblPrEx>
        <w:trPr>
          <w:trHeight w:val="619"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nil"/>
              <w:right w:val="single" w:color="auto" w:sz="4" w:space="0"/>
            </w:tcBorders>
            <w:vAlign w:val="center"/>
          </w:tcPr>
          <w:p>
            <w:pPr>
              <w:spacing w:line="240" w:lineRule="exact"/>
              <w:jc w:val="left"/>
              <w:rPr>
                <w:rFonts w:eastAsia="仿宋_GB2312"/>
                <w:kern w:val="0"/>
                <w:szCs w:val="21"/>
              </w:rPr>
            </w:pPr>
          </w:p>
        </w:tc>
        <w:tc>
          <w:tcPr>
            <w:tcW w:w="12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时效指标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预决算信息公开性</w:t>
            </w:r>
          </w:p>
        </w:tc>
        <w:tc>
          <w:tcPr>
            <w:tcW w:w="1050"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100%</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5</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5</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p>
        </w:tc>
      </w:tr>
      <w:tr>
        <w:tblPrEx>
          <w:tblCellMar>
            <w:top w:w="0" w:type="dxa"/>
            <w:left w:w="108" w:type="dxa"/>
            <w:bottom w:w="0" w:type="dxa"/>
            <w:right w:w="108" w:type="dxa"/>
          </w:tblCellMar>
        </w:tblPrEx>
        <w:trPr>
          <w:trHeight w:val="543"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nil"/>
              <w:bottom w:val="single" w:color="auto" w:sz="4" w:space="0"/>
              <w:right w:val="single" w:color="auto" w:sz="4" w:space="0"/>
            </w:tcBorders>
            <w:vAlign w:val="center"/>
          </w:tcPr>
          <w:p>
            <w:pPr>
              <w:spacing w:line="240" w:lineRule="exact"/>
              <w:jc w:val="left"/>
              <w:rPr>
                <w:rFonts w:eastAsia="仿宋_GB2312"/>
                <w:kern w:val="0"/>
                <w:szCs w:val="21"/>
              </w:rPr>
            </w:pPr>
          </w:p>
        </w:tc>
        <w:tc>
          <w:tcPr>
            <w:tcW w:w="12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成本指标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一般性支出压减率</w:t>
            </w:r>
          </w:p>
        </w:tc>
        <w:tc>
          <w:tcPr>
            <w:tcW w:w="1050"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5%</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5%</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5</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5</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p>
        </w:tc>
      </w:tr>
      <w:tr>
        <w:tblPrEx>
          <w:tblCellMar>
            <w:top w:w="0" w:type="dxa"/>
            <w:left w:w="108" w:type="dxa"/>
            <w:bottom w:w="0" w:type="dxa"/>
            <w:right w:w="108" w:type="dxa"/>
          </w:tblCellMar>
        </w:tblPrEx>
        <w:trPr>
          <w:trHeight w:val="565"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restart"/>
            <w:tcBorders>
              <w:top w:val="single" w:color="auto" w:sz="4" w:space="0"/>
              <w:left w:val="nil"/>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效益指标</w:t>
            </w:r>
          </w:p>
          <w:p>
            <w:pPr>
              <w:widowControl/>
              <w:spacing w:line="240" w:lineRule="exact"/>
              <w:jc w:val="left"/>
              <w:rPr>
                <w:rFonts w:eastAsia="仿宋_GB2312"/>
                <w:kern w:val="0"/>
                <w:szCs w:val="21"/>
              </w:rPr>
            </w:pPr>
            <w:r>
              <w:rPr>
                <w:rFonts w:eastAsia="仿宋_GB2312"/>
                <w:kern w:val="0"/>
                <w:szCs w:val="21"/>
              </w:rPr>
              <w:t>（30分）</w:t>
            </w:r>
          </w:p>
        </w:tc>
        <w:tc>
          <w:tcPr>
            <w:tcW w:w="12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经济效</w:t>
            </w:r>
          </w:p>
          <w:p>
            <w:pPr>
              <w:widowControl/>
              <w:spacing w:line="240" w:lineRule="exact"/>
              <w:jc w:val="center"/>
              <w:rPr>
                <w:rFonts w:eastAsia="仿宋_GB2312"/>
                <w:kern w:val="0"/>
                <w:szCs w:val="21"/>
              </w:rPr>
            </w:pPr>
            <w:r>
              <w:rPr>
                <w:rFonts w:eastAsia="仿宋_GB2312"/>
                <w:kern w:val="0"/>
                <w:szCs w:val="21"/>
              </w:rPr>
              <w:t>益指标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净利润指标完成率</w:t>
            </w:r>
          </w:p>
        </w:tc>
        <w:tc>
          <w:tcPr>
            <w:tcW w:w="1050"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100%</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103%</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490" w:hRule="atLeast"/>
          <w:jc w:val="center"/>
        </w:trPr>
        <w:tc>
          <w:tcPr>
            <w:tcW w:w="1062" w:type="dxa"/>
            <w:vMerge w:val="continue"/>
            <w:tcBorders>
              <w:left w:val="single" w:color="auto" w:sz="4" w:space="0"/>
              <w:bottom w:val="nil"/>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nil"/>
              <w:bottom w:val="nil"/>
              <w:right w:val="single" w:color="auto" w:sz="4" w:space="0"/>
            </w:tcBorders>
            <w:vAlign w:val="center"/>
          </w:tcPr>
          <w:p>
            <w:pPr>
              <w:spacing w:line="240" w:lineRule="exact"/>
              <w:jc w:val="left"/>
              <w:rPr>
                <w:rFonts w:eastAsia="仿宋_GB2312"/>
                <w:kern w:val="0"/>
                <w:szCs w:val="21"/>
              </w:rPr>
            </w:pPr>
          </w:p>
        </w:tc>
        <w:tc>
          <w:tcPr>
            <w:tcW w:w="1299" w:type="dxa"/>
            <w:vMerge w:val="restart"/>
            <w:tcBorders>
              <w:top w:val="single" w:color="auto" w:sz="4" w:space="0"/>
              <w:left w:val="nil"/>
              <w:bottom w:val="nil"/>
              <w:right w:val="single" w:color="auto" w:sz="4" w:space="0"/>
            </w:tcBorders>
            <w:vAlign w:val="center"/>
          </w:tcPr>
          <w:p>
            <w:pPr>
              <w:spacing w:line="240" w:lineRule="exact"/>
              <w:jc w:val="center"/>
              <w:rPr>
                <w:rFonts w:eastAsia="仿宋_GB2312"/>
                <w:kern w:val="0"/>
                <w:szCs w:val="21"/>
              </w:rPr>
            </w:pPr>
            <w:r>
              <w:rPr>
                <w:rFonts w:eastAsia="仿宋_GB2312"/>
                <w:kern w:val="0"/>
                <w:szCs w:val="21"/>
              </w:rPr>
              <w:t>社会效益指标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确保民生</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保持队伍稳定</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已完成</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5</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hint="eastAsia" w:eastAsia="仿宋_GB2312"/>
                <w:kern w:val="0"/>
                <w:szCs w:val="21"/>
              </w:rPr>
              <w:t>5</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483"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nil"/>
              <w:right w:val="single" w:color="auto" w:sz="4" w:space="0"/>
            </w:tcBorders>
            <w:vAlign w:val="center"/>
          </w:tcPr>
          <w:p>
            <w:pPr>
              <w:spacing w:line="240" w:lineRule="exact"/>
              <w:jc w:val="left"/>
              <w:rPr>
                <w:rFonts w:eastAsia="仿宋_GB2312"/>
                <w:kern w:val="0"/>
                <w:szCs w:val="21"/>
              </w:rPr>
            </w:pPr>
          </w:p>
        </w:tc>
        <w:tc>
          <w:tcPr>
            <w:tcW w:w="1299" w:type="dxa"/>
            <w:vMerge w:val="continue"/>
            <w:tcBorders>
              <w:left w:val="nil"/>
              <w:bottom w:val="single" w:color="auto" w:sz="4" w:space="0"/>
              <w:right w:val="single" w:color="auto" w:sz="4" w:space="0"/>
            </w:tcBorders>
            <w:vAlign w:val="center"/>
          </w:tcPr>
          <w:p>
            <w:pPr>
              <w:widowControl/>
              <w:spacing w:line="240" w:lineRule="exact"/>
              <w:jc w:val="center"/>
              <w:rPr>
                <w:rFonts w:eastAsia="仿宋_GB2312"/>
                <w:kern w:val="0"/>
                <w:szCs w:val="21"/>
              </w:rPr>
            </w:pP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能源保障</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工作有成效</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已完成</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5</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hint="eastAsia" w:eastAsia="仿宋_GB2312"/>
                <w:kern w:val="0"/>
                <w:szCs w:val="21"/>
              </w:rPr>
              <w:t>4.8</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559"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nil"/>
              <w:right w:val="single" w:color="auto" w:sz="4" w:space="0"/>
            </w:tcBorders>
            <w:vAlign w:val="center"/>
          </w:tcPr>
          <w:p>
            <w:pPr>
              <w:spacing w:line="240" w:lineRule="exact"/>
              <w:jc w:val="left"/>
              <w:rPr>
                <w:rFonts w:eastAsia="仿宋_GB2312"/>
                <w:kern w:val="0"/>
                <w:szCs w:val="21"/>
              </w:rPr>
            </w:pPr>
          </w:p>
        </w:tc>
        <w:tc>
          <w:tcPr>
            <w:tcW w:w="1299" w:type="dxa"/>
            <w:tcBorders>
              <w:top w:val="nil"/>
              <w:left w:val="nil"/>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生态效</w:t>
            </w:r>
          </w:p>
          <w:p>
            <w:pPr>
              <w:widowControl/>
              <w:spacing w:line="240" w:lineRule="exact"/>
              <w:jc w:val="center"/>
              <w:rPr>
                <w:rFonts w:eastAsia="仿宋_GB2312"/>
                <w:kern w:val="0"/>
                <w:szCs w:val="21"/>
              </w:rPr>
            </w:pPr>
            <w:r>
              <w:rPr>
                <w:rFonts w:eastAsia="仿宋_GB2312"/>
                <w:kern w:val="0"/>
                <w:szCs w:val="21"/>
              </w:rPr>
              <w:t>益指标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环境保护</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效果较好</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已完成</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hint="eastAsia" w:eastAsia="仿宋_GB2312"/>
                <w:kern w:val="0"/>
                <w:szCs w:val="21"/>
              </w:rPr>
              <w:t>9.7</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695"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绩</w:t>
            </w:r>
          </w:p>
          <w:p>
            <w:pPr>
              <w:widowControl/>
              <w:spacing w:line="240" w:lineRule="exact"/>
              <w:jc w:val="center"/>
              <w:rPr>
                <w:rFonts w:eastAsia="仿宋_GB2312"/>
                <w:kern w:val="0"/>
                <w:szCs w:val="21"/>
              </w:rPr>
            </w:pPr>
            <w:r>
              <w:rPr>
                <w:rFonts w:eastAsia="仿宋_GB2312"/>
                <w:kern w:val="0"/>
                <w:szCs w:val="21"/>
              </w:rPr>
              <w:t>效</w:t>
            </w:r>
          </w:p>
          <w:p>
            <w:pPr>
              <w:widowControl/>
              <w:spacing w:line="240" w:lineRule="exact"/>
              <w:jc w:val="center"/>
              <w:rPr>
                <w:rFonts w:eastAsia="仿宋_GB2312"/>
                <w:kern w:val="0"/>
                <w:szCs w:val="21"/>
              </w:rPr>
            </w:pPr>
            <w:r>
              <w:rPr>
                <w:rFonts w:eastAsia="仿宋_GB2312"/>
                <w:kern w:val="0"/>
                <w:szCs w:val="21"/>
              </w:rPr>
              <w:t>指</w:t>
            </w:r>
          </w:p>
          <w:p>
            <w:pPr>
              <w:widowControl/>
              <w:spacing w:line="240" w:lineRule="exact"/>
              <w:jc w:val="center"/>
              <w:rPr>
                <w:rFonts w:eastAsia="仿宋_GB2312"/>
                <w:kern w:val="0"/>
                <w:szCs w:val="21"/>
              </w:rPr>
            </w:pPr>
            <w:r>
              <w:rPr>
                <w:rFonts w:eastAsia="仿宋_GB2312"/>
                <w:kern w:val="0"/>
                <w:szCs w:val="21"/>
              </w:rPr>
              <w:t>标</w:t>
            </w:r>
          </w:p>
        </w:tc>
        <w:tc>
          <w:tcPr>
            <w:tcW w:w="936"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p>
            <w:pPr>
              <w:widowControl/>
              <w:spacing w:line="240" w:lineRule="exact"/>
              <w:jc w:val="center"/>
              <w:rPr>
                <w:rFonts w:eastAsia="仿宋_GB2312"/>
                <w:kern w:val="0"/>
                <w:szCs w:val="21"/>
              </w:rPr>
            </w:pPr>
            <w:r>
              <w:rPr>
                <w:rFonts w:eastAsia="仿宋_GB2312"/>
                <w:kern w:val="0"/>
                <w:szCs w:val="21"/>
              </w:rPr>
              <w:t>满意度</w:t>
            </w:r>
          </w:p>
          <w:p>
            <w:pPr>
              <w:widowControl/>
              <w:spacing w:line="240" w:lineRule="exact"/>
              <w:jc w:val="center"/>
              <w:rPr>
                <w:rFonts w:eastAsia="仿宋_GB2312"/>
                <w:kern w:val="0"/>
                <w:szCs w:val="21"/>
              </w:rPr>
            </w:pPr>
            <w:r>
              <w:rPr>
                <w:rFonts w:eastAsia="仿宋_GB2312"/>
                <w:kern w:val="0"/>
                <w:szCs w:val="21"/>
              </w:rPr>
              <w:t>指标</w:t>
            </w:r>
          </w:p>
          <w:p>
            <w:pPr>
              <w:spacing w:line="240" w:lineRule="exact"/>
              <w:jc w:val="center"/>
              <w:rPr>
                <w:rFonts w:eastAsia="仿宋_GB2312"/>
                <w:kern w:val="0"/>
                <w:szCs w:val="21"/>
              </w:rPr>
            </w:pPr>
            <w:r>
              <w:rPr>
                <w:rFonts w:eastAsia="仿宋_GB2312"/>
                <w:kern w:val="0"/>
                <w:szCs w:val="21"/>
              </w:rPr>
              <w:t>（10分）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可持续影响指标</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持续发展主业</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发展态势良好</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已完成</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hint="eastAsia" w:eastAsia="仿宋_GB2312"/>
                <w:kern w:val="0"/>
                <w:szCs w:val="21"/>
              </w:rPr>
              <w:t>9.5</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549" w:hRule="atLeast"/>
          <w:jc w:val="center"/>
        </w:trPr>
        <w:tc>
          <w:tcPr>
            <w:tcW w:w="1062" w:type="dxa"/>
            <w:vMerge w:val="continue"/>
            <w:tcBorders>
              <w:left w:val="single" w:color="auto" w:sz="4" w:space="0"/>
              <w:right w:val="single" w:color="auto" w:sz="4" w:space="0"/>
            </w:tcBorders>
            <w:vAlign w:val="center"/>
          </w:tcPr>
          <w:p>
            <w:pPr>
              <w:spacing w:line="240" w:lineRule="exact"/>
              <w:jc w:val="left"/>
              <w:rPr>
                <w:rFonts w:eastAsia="仿宋_GB2312"/>
                <w:kern w:val="0"/>
                <w:szCs w:val="21"/>
              </w:rPr>
            </w:pPr>
          </w:p>
        </w:tc>
        <w:tc>
          <w:tcPr>
            <w:tcW w:w="93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Cs w:val="21"/>
              </w:rPr>
            </w:pPr>
          </w:p>
        </w:tc>
        <w:tc>
          <w:tcPr>
            <w:tcW w:w="12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服务对象满意度指标</w:t>
            </w:r>
          </w:p>
        </w:tc>
        <w:tc>
          <w:tcPr>
            <w:tcW w:w="1843"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受益人群满意度</w:t>
            </w:r>
          </w:p>
        </w:tc>
        <w:tc>
          <w:tcPr>
            <w:tcW w:w="1050"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90%</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100%</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847"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r>
        <w:tblPrEx>
          <w:tblCellMar>
            <w:top w:w="0" w:type="dxa"/>
            <w:left w:w="108" w:type="dxa"/>
            <w:bottom w:w="0" w:type="dxa"/>
            <w:right w:w="108" w:type="dxa"/>
          </w:tblCellMar>
        </w:tblPrEx>
        <w:trPr>
          <w:trHeight w:val="542" w:hRule="atLeast"/>
          <w:jc w:val="center"/>
        </w:trPr>
        <w:tc>
          <w:tcPr>
            <w:tcW w:w="7159"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eastAsia="仿宋_GB2312"/>
                <w:kern w:val="0"/>
                <w:szCs w:val="21"/>
              </w:rPr>
            </w:pPr>
            <w:r>
              <w:rPr>
                <w:rFonts w:eastAsia="仿宋_GB2312"/>
                <w:kern w:val="0"/>
                <w:szCs w:val="21"/>
              </w:rPr>
              <w:t>总分</w:t>
            </w:r>
          </w:p>
        </w:tc>
        <w:tc>
          <w:tcPr>
            <w:tcW w:w="841" w:type="dxa"/>
            <w:tcBorders>
              <w:top w:val="nil"/>
              <w:left w:val="nil"/>
              <w:bottom w:val="single" w:color="auto" w:sz="4" w:space="0"/>
              <w:right w:val="single" w:color="auto" w:sz="4" w:space="0"/>
            </w:tcBorders>
            <w:vAlign w:val="center"/>
          </w:tcPr>
          <w:p>
            <w:pPr>
              <w:widowControl/>
              <w:spacing w:line="240" w:lineRule="exact"/>
              <w:jc w:val="center"/>
              <w:rPr>
                <w:rFonts w:eastAsia="仿宋_GB2312"/>
                <w:kern w:val="0"/>
                <w:szCs w:val="21"/>
              </w:rPr>
            </w:pPr>
            <w:r>
              <w:rPr>
                <w:rFonts w:eastAsia="仿宋_GB2312"/>
                <w:kern w:val="0"/>
                <w:szCs w:val="21"/>
              </w:rPr>
              <w:t>100</w:t>
            </w:r>
          </w:p>
        </w:tc>
        <w:tc>
          <w:tcPr>
            <w:tcW w:w="847"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r>
              <w:rPr>
                <w:rFonts w:hint="eastAsia" w:eastAsia="仿宋_GB2312"/>
                <w:kern w:val="0"/>
                <w:szCs w:val="21"/>
              </w:rPr>
              <w:t>99</w:t>
            </w:r>
          </w:p>
        </w:tc>
        <w:tc>
          <w:tcPr>
            <w:tcW w:w="1146" w:type="dxa"/>
            <w:tcBorders>
              <w:top w:val="nil"/>
              <w:left w:val="nil"/>
              <w:bottom w:val="single" w:color="auto" w:sz="4" w:space="0"/>
              <w:right w:val="single" w:color="auto" w:sz="4" w:space="0"/>
            </w:tcBorders>
            <w:vAlign w:val="center"/>
          </w:tcPr>
          <w:p>
            <w:pPr>
              <w:widowControl/>
              <w:spacing w:line="240" w:lineRule="exact"/>
              <w:jc w:val="left"/>
              <w:rPr>
                <w:rFonts w:eastAsia="仿宋_GB2312"/>
                <w:kern w:val="0"/>
                <w:szCs w:val="21"/>
              </w:rPr>
            </w:pPr>
            <w:r>
              <w:rPr>
                <w:rFonts w:eastAsia="仿宋_GB2312"/>
                <w:kern w:val="0"/>
                <w:szCs w:val="21"/>
              </w:rPr>
              <w:t>　</w:t>
            </w:r>
          </w:p>
        </w:tc>
      </w:tr>
    </w:tbl>
    <w:p>
      <w:pPr>
        <w:widowControl/>
        <w:spacing w:line="600" w:lineRule="exact"/>
        <w:jc w:val="left"/>
        <w:rPr>
          <w:rFonts w:eastAsia="仿宋_GB2312"/>
          <w:kern w:val="0"/>
          <w:szCs w:val="21"/>
        </w:rPr>
        <w:sectPr>
          <w:pgSz w:w="11906" w:h="16838"/>
          <w:pgMar w:top="1417" w:right="1417" w:bottom="1417" w:left="1417" w:header="851" w:footer="992" w:gutter="0"/>
          <w:cols w:space="425" w:num="1"/>
          <w:docGrid w:type="linesAndChars" w:linePitch="312" w:charSpace="0"/>
        </w:sectPr>
      </w:pPr>
      <w:r>
        <w:rPr>
          <w:rFonts w:eastAsia="仿宋_GB2312"/>
          <w:kern w:val="0"/>
          <w:szCs w:val="21"/>
        </w:rPr>
        <w:t>填表人：王静  填报日期：2022年4月20日  联系电话：</w:t>
      </w:r>
      <w:r>
        <w:rPr>
          <w:rFonts w:eastAsia="仿宋_GB2312"/>
          <w:kern w:val="0"/>
          <w:sz w:val="22"/>
        </w:rPr>
        <w:t>13407310618</w:t>
      </w:r>
      <w:r>
        <w:rPr>
          <w:rFonts w:eastAsia="仿宋_GB2312"/>
          <w:kern w:val="0"/>
          <w:szCs w:val="21"/>
        </w:rPr>
        <w:t xml:space="preserve">  单位负责人签字：</w:t>
      </w:r>
    </w:p>
    <w:p>
      <w:pPr>
        <w:widowControl/>
        <w:spacing w:line="600" w:lineRule="exact"/>
        <w:jc w:val="left"/>
        <w:rPr>
          <w:rFonts w:eastAsia="仿宋_GB2312"/>
          <w:kern w:val="0"/>
          <w:szCs w:val="21"/>
        </w:rPr>
      </w:pPr>
    </w:p>
    <w:sectPr>
      <w:pgSz w:w="16838" w:h="11906" w:orient="landscape"/>
      <w:pgMar w:top="1417" w:right="1417" w:bottom="1417" w:left="141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228001"/>
    <w:multiLevelType w:val="singleLevel"/>
    <w:tmpl w:val="5622800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Mzc2ZDRiNTQ3ZTA4NjBjYTBlNmYwOGQwMDk2ZT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56C53"/>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EF4CAC"/>
    <w:rsid w:val="00F74360"/>
    <w:rsid w:val="00FB462F"/>
    <w:rsid w:val="00FE16FA"/>
    <w:rsid w:val="00FE328A"/>
    <w:rsid w:val="00FE6269"/>
    <w:rsid w:val="00FF5CD6"/>
    <w:rsid w:val="018C6BB5"/>
    <w:rsid w:val="02DD2E6D"/>
    <w:rsid w:val="04875FA3"/>
    <w:rsid w:val="083A55C8"/>
    <w:rsid w:val="0BDE0029"/>
    <w:rsid w:val="0D144D4E"/>
    <w:rsid w:val="0ED016F1"/>
    <w:rsid w:val="0F392535"/>
    <w:rsid w:val="103A1507"/>
    <w:rsid w:val="15B53AE1"/>
    <w:rsid w:val="17C32DF7"/>
    <w:rsid w:val="19975305"/>
    <w:rsid w:val="1BB76E65"/>
    <w:rsid w:val="1C9258AA"/>
    <w:rsid w:val="1EE53DA2"/>
    <w:rsid w:val="24B20E4A"/>
    <w:rsid w:val="2DE241CF"/>
    <w:rsid w:val="2DE94BE6"/>
    <w:rsid w:val="2EF70D9C"/>
    <w:rsid w:val="2FFDAA93"/>
    <w:rsid w:val="300828BC"/>
    <w:rsid w:val="30166880"/>
    <w:rsid w:val="31C76FD7"/>
    <w:rsid w:val="3342169D"/>
    <w:rsid w:val="34384B8F"/>
    <w:rsid w:val="34567827"/>
    <w:rsid w:val="39785A2E"/>
    <w:rsid w:val="39C93D1A"/>
    <w:rsid w:val="3D721338"/>
    <w:rsid w:val="3E4E0EFF"/>
    <w:rsid w:val="3E932979"/>
    <w:rsid w:val="41D517BC"/>
    <w:rsid w:val="456A7350"/>
    <w:rsid w:val="45C0375D"/>
    <w:rsid w:val="49205887"/>
    <w:rsid w:val="4A305504"/>
    <w:rsid w:val="4B6B0587"/>
    <w:rsid w:val="4C3900EE"/>
    <w:rsid w:val="4DF46E19"/>
    <w:rsid w:val="4E1D3316"/>
    <w:rsid w:val="4E6323DD"/>
    <w:rsid w:val="50011585"/>
    <w:rsid w:val="542402A9"/>
    <w:rsid w:val="56912700"/>
    <w:rsid w:val="56B572A1"/>
    <w:rsid w:val="58572829"/>
    <w:rsid w:val="59575208"/>
    <w:rsid w:val="5C95546E"/>
    <w:rsid w:val="5F071CF5"/>
    <w:rsid w:val="601F511B"/>
    <w:rsid w:val="6509766E"/>
    <w:rsid w:val="65641FA1"/>
    <w:rsid w:val="67B87403"/>
    <w:rsid w:val="67D90EF8"/>
    <w:rsid w:val="686D5878"/>
    <w:rsid w:val="6B7C2630"/>
    <w:rsid w:val="6D5B0D00"/>
    <w:rsid w:val="6DF14896"/>
    <w:rsid w:val="6EE122A3"/>
    <w:rsid w:val="6FDB5ADC"/>
    <w:rsid w:val="717C3606"/>
    <w:rsid w:val="71B52194"/>
    <w:rsid w:val="748F2BAF"/>
    <w:rsid w:val="76272649"/>
    <w:rsid w:val="76F55EC7"/>
    <w:rsid w:val="79992863"/>
    <w:rsid w:val="7E5C07E3"/>
    <w:rsid w:val="7F67190B"/>
    <w:rsid w:val="7F6DEBE9"/>
    <w:rsid w:val="F63CC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11994</Words>
  <Characters>15177</Characters>
  <Lines>128</Lines>
  <Paragraphs>36</Paragraphs>
  <TotalTime>0</TotalTime>
  <ScaleCrop>false</ScaleCrop>
  <LinksUpToDate>false</LinksUpToDate>
  <CharactersWithSpaces>15358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2023-09-23T04:09:00Z</dcterms:created>
  <dc:creator>李航 null</dc:creator>
  <cp:lastModifiedBy>kx</cp:lastModifiedBy>
  <cp:lastPrinted>2022-07-28T12:55:00Z</cp:lastPrinted>
  <dcterms:modified xsi:type="dcterms:W3CDTF">2023-09-26T17:49:05Z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B72A66081BB84E5C946FED67B4254432_13</vt:lpwstr>
  </property>
</Properties>
</file>