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Ansi="黑体"/>
          <w:sz w:val="84"/>
          <w:szCs w:val="84"/>
        </w:rPr>
      </w:pPr>
      <w:r>
        <w:rPr>
          <w:rFonts w:hint="eastAsia" w:hAnsi="黑体"/>
          <w:sz w:val="84"/>
          <w:szCs w:val="84"/>
        </w:rPr>
        <w:t>湖南省地质矿产勘查开发局</w:t>
      </w:r>
    </w:p>
    <w:p>
      <w:pPr>
        <w:pStyle w:val="11"/>
        <w:jc w:val="center"/>
        <w:rPr>
          <w:sz w:val="84"/>
          <w:szCs w:val="84"/>
        </w:rPr>
      </w:pPr>
      <w:r>
        <w:rPr>
          <w:rFonts w:hint="eastAsia" w:hAnsi="黑体"/>
          <w:sz w:val="84"/>
          <w:szCs w:val="84"/>
        </w:rPr>
        <w:t>四一三队</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color w:val="auto"/>
          <w:sz w:val="28"/>
          <w:szCs w:val="28"/>
        </w:rPr>
        <w:t>湖南省地质矿产勘查开发局四一三队</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both"/>
        <w:rPr>
          <w:sz w:val="72"/>
          <w:szCs w:val="72"/>
        </w:rPr>
      </w:pPr>
    </w:p>
    <w:p>
      <w:pPr>
        <w:jc w:val="both"/>
        <w:rPr>
          <w:sz w:val="72"/>
          <w:szCs w:val="72"/>
        </w:rPr>
      </w:pPr>
    </w:p>
    <w:p>
      <w:pPr>
        <w:jc w:val="both"/>
        <w:rPr>
          <w:sz w:val="72"/>
          <w:szCs w:val="72"/>
        </w:rPr>
      </w:pPr>
    </w:p>
    <w:p>
      <w:pPr>
        <w:jc w:val="center"/>
        <w:rPr>
          <w:sz w:val="72"/>
          <w:szCs w:val="72"/>
        </w:rPr>
      </w:pPr>
    </w:p>
    <w:p>
      <w:pPr>
        <w:pStyle w:val="11"/>
        <w:ind w:firstLine="3360" w:firstLineChars="400"/>
        <w:jc w:val="both"/>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Ansi="黑体"/>
          <w:sz w:val="84"/>
          <w:szCs w:val="84"/>
        </w:rPr>
      </w:pPr>
      <w:r>
        <w:rPr>
          <w:rFonts w:hint="eastAsia" w:hAnsi="黑体"/>
          <w:sz w:val="84"/>
          <w:szCs w:val="84"/>
        </w:rPr>
        <w:t>湖南省地质矿产勘查开发局</w:t>
      </w:r>
    </w:p>
    <w:p>
      <w:pPr>
        <w:pStyle w:val="11"/>
        <w:jc w:val="center"/>
        <w:rPr>
          <w:sz w:val="84"/>
          <w:szCs w:val="84"/>
        </w:rPr>
      </w:pPr>
      <w:r>
        <w:rPr>
          <w:rFonts w:hint="eastAsia" w:hAnsi="黑体"/>
          <w:sz w:val="84"/>
          <w:szCs w:val="84"/>
        </w:rPr>
        <w:t>四一三队</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0" w:leftChars="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548" w:firstLineChars="196"/>
        <w:rPr>
          <w:rFonts w:hint="eastAsia"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color w:val="000000"/>
          <w:kern w:val="0"/>
          <w:sz w:val="28"/>
          <w:szCs w:val="28"/>
          <w:lang w:val="en-US" w:eastAsia="zh-CN" w:bidi="ar-SA"/>
        </w:rPr>
        <w:t>湖南省地质矿产勘查开发局四一三队为湖南省地质院所属二级预算单位，为财政补助事业单位。主要从事金刚石及其它固体矿产地质调查、勘查，水文工程，地球物理、地球化学勘查，地形测绘、地籍测量，地质勘探工程，岩石、矿物、土壤及水质的分析、化验、鉴定与测试，金刚石工具、模具制造销售，钻石、宝石、工艺品加工销售，环境工程地质调查等相关社会服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color w:val="000000"/>
          <w:kern w:val="0"/>
          <w:sz w:val="28"/>
          <w:szCs w:val="28"/>
          <w:lang w:val="en-US" w:eastAsia="zh-CN" w:bidi="ar-SA"/>
        </w:rPr>
        <w:t>（一）内设机构设置。湖南省地质矿产勘查开发局四一三队单位内设机构包括：办公室、财务科、劳人科、经营科、审计监察室、安全科、总工办、技术服务中心等8个职能部门。</w:t>
      </w:r>
    </w:p>
    <w:p>
      <w:pPr>
        <w:widowControl/>
        <w:spacing w:line="600" w:lineRule="exact"/>
        <w:rPr>
          <w:rFonts w:hint="eastAsia"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color w:val="000000"/>
          <w:kern w:val="0"/>
          <w:sz w:val="28"/>
          <w:szCs w:val="28"/>
          <w:lang w:val="en-US" w:eastAsia="zh-CN" w:bidi="ar-SA"/>
        </w:rPr>
        <w:t>（二）决算单位构成。湖南省地质矿产勘查开发局四一三队2021年部门决算汇总公开单位构成包括：湖南省地质矿产勘查开发局四一三队单位本级。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r>
        <w:rPr>
          <w:rFonts w:ascii="黑体" w:hAnsi="黑体" w:eastAsia="黑体"/>
          <w:sz w:val="28"/>
          <w:szCs w:val="28"/>
        </w:rPr>
        <w:object>
          <v:shape id="_x0000_i1025" o:spt="75" type="#_x0000_t75" style="height:498.6pt;width:697.2pt;" o:ole="t" filled="f" o:preferrelative="t" stroked="f" coordsize="21600,21600">
            <v:path/>
            <v:fill on="f" focussize="0,0"/>
            <v:stroke on="f" joinstyle="miter"/>
            <v:imagedata r:id="rId5" o:title=""/>
            <o:lock v:ext="edit" aspectratio="f"/>
            <w10:wrap type="none"/>
            <w10:anchorlock/>
          </v:shape>
          <o:OLEObject Type="Embed" ProgID="Excel.Sheet.12" ShapeID="_x0000_i1025" DrawAspect="Content" ObjectID="_1468075725" r:id="rId4">
            <o:LockedField>false</o:LockedField>
          </o:OLEObject>
        </w:object>
      </w:r>
      <w:r>
        <w:rPr>
          <w:rFonts w:ascii="黑体" w:hAnsi="黑体" w:eastAsia="黑体"/>
          <w:sz w:val="28"/>
          <w:szCs w:val="28"/>
        </w:rPr>
        <w:object>
          <v:shape id="_x0000_i1026" o:spt="75" type="#_x0000_t75" style="height:384pt;width:697.8pt;" o:ole="t" filled="f" o:preferrelative="t" stroked="f" coordsize="21600,21600">
            <v:path/>
            <v:fill on="f" focussize="0,0"/>
            <v:stroke on="f" joinstyle="miter"/>
            <v:imagedata r:id="rId7" o:title=""/>
            <o:lock v:ext="edit" aspectratio="f"/>
            <w10:wrap type="none"/>
            <w10:anchorlock/>
          </v:shape>
          <o:OLEObject Type="Embed" ProgID="Excel.Sheet.12" ShapeID="_x0000_i1026" DrawAspect="Content" ObjectID="_1468075726" r:id="rId6">
            <o:LockedField>false</o:LockedField>
          </o:OLEObject>
        </w:objec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object>
          <v:shape id="_x0000_i1027" o:spt="75" type="#_x0000_t75" style="height:454.8pt;width:769.2pt;" o:ole="t" filled="f" o:preferrelative="t" stroked="f" coordsize="21600,21600">
            <v:path/>
            <v:fill on="f" focussize="0,0"/>
            <v:stroke on="f" joinstyle="miter"/>
            <v:imagedata r:id="rId9" o:title=""/>
            <o:lock v:ext="edit" aspectratio="f"/>
            <w10:wrap type="none"/>
            <w10:anchorlock/>
          </v:shape>
          <o:OLEObject Type="Embed" ProgID="Excel.Sheet.12" ShapeID="_x0000_i1027" DrawAspect="Content" ObjectID="_1468075727" r:id="rId8">
            <o:LockedField>false</o:LockedField>
          </o:OLEObject>
        </w:object>
      </w: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object>
          <v:shape id="_x0000_i1028" o:spt="75" type="#_x0000_t75" style="height:479.4pt;width:769.8pt;" o:ole="t" filled="f" o:preferrelative="t" stroked="f" coordsize="21600,21600">
            <v:path/>
            <v:fill on="f" focussize="0,0"/>
            <v:stroke on="f" joinstyle="miter"/>
            <v:imagedata r:id="rId11" o:title=""/>
            <o:lock v:ext="edit" aspectratio="f"/>
            <w10:wrap type="none"/>
            <w10:anchorlock/>
          </v:shape>
          <o:OLEObject Type="Embed" ProgID="Excel.Sheet.12" ShapeID="_x0000_i1028" DrawAspect="Content" ObjectID="_1468075728" r:id="rId10">
            <o:LockedField>false</o:LockedField>
          </o:OLEObject>
        </w:object>
      </w:r>
    </w:p>
    <w:p>
      <w:pPr>
        <w:widowControl/>
        <w:ind w:left="93"/>
        <w:jc w:val="center"/>
        <w:rPr>
          <w:rFonts w:ascii="Times New Roman" w:hAnsi="Times New Roman" w:eastAsia="方正小标宋_GBK" w:cs="Times New Roman"/>
          <w:color w:val="000000"/>
          <w:kern w:val="0"/>
          <w:sz w:val="36"/>
          <w:szCs w:val="21"/>
        </w:rPr>
      </w:pPr>
    </w:p>
    <w:p>
      <w:pPr>
        <w:widowControl/>
        <w:ind w:left="93"/>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29" o:spt="75" type="#_x0000_t75" style="height:463.8pt;width:636pt;" o:ole="t" filled="f" o:preferrelative="t" stroked="f" coordsize="21600,21600">
            <v:path/>
            <v:fill on="f" focussize="0,0"/>
            <v:stroke on="f" joinstyle="miter"/>
            <v:imagedata r:id="rId13" o:title=""/>
            <o:lock v:ext="edit" aspectratio="f"/>
            <w10:wrap type="none"/>
            <w10:anchorlock/>
          </v:shape>
          <o:OLEObject Type="Embed" ProgID="Excel.Sheet.12" ShapeID="_x0000_i1029" DrawAspect="Content" ObjectID="_1468075729" r:id="rId12">
            <o:LockedField>false</o:LockedField>
          </o:OLEObject>
        </w:object>
      </w:r>
    </w:p>
    <w:p>
      <w:pPr>
        <w:widowControl/>
        <w:ind w:left="93"/>
        <w:jc w:val="center"/>
        <w:rPr>
          <w:rFonts w:ascii="Times New Roman" w:hAnsi="Times New Roman" w:eastAsia="方正小标宋_GBK" w:cs="Times New Roman"/>
          <w:color w:val="000000"/>
          <w:kern w:val="0"/>
          <w:sz w:val="36"/>
          <w:szCs w:val="21"/>
        </w:rPr>
      </w:pPr>
    </w:p>
    <w:p>
      <w:pPr>
        <w:widowControl/>
        <w:ind w:left="93"/>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30" o:spt="75" type="#_x0000_t75" style="height:454.8pt;width:769.2pt;" o:ole="t" filled="f" o:preferrelative="t" stroked="f" coordsize="21600,21600">
            <v:path/>
            <v:fill on="f" focussize="0,0"/>
            <v:stroke on="f" joinstyle="miter"/>
            <v:imagedata r:id="rId15" o:title=""/>
            <o:lock v:ext="edit" aspectratio="f"/>
            <w10:wrap type="none"/>
            <w10:anchorlock/>
          </v:shape>
          <o:OLEObject Type="Embed" ProgID="Excel.Sheet.12" ShapeID="_x0000_i1030" DrawAspect="Content" ObjectID="_1468075730" r:id="rId14">
            <o:LockedField>false</o:LockedField>
          </o:OLEObject>
        </w:object>
      </w:r>
    </w:p>
    <w:p>
      <w:pPr>
        <w:widowControl/>
        <w:jc w:val="center"/>
        <w:rPr>
          <w:rFonts w:ascii="Times New Roman" w:hAnsi="Times New Roman" w:eastAsia="方正小标宋_GBK" w:cs="Times New Roman"/>
          <w:color w:val="000000"/>
          <w:kern w:val="0"/>
          <w:sz w:val="36"/>
          <w:szCs w:val="36"/>
        </w:rPr>
      </w:pPr>
      <w:bookmarkStart w:id="0" w:name="RANGE!A1:I22"/>
      <w:bookmarkEnd w:id="0"/>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center"/>
        <w:rPr>
          <w:rFonts w:ascii="Times New Roman" w:hAnsi="Times New Roman" w:eastAsia="方正小标宋_GBK" w:cs="Times New Roman"/>
          <w:color w:val="000000"/>
          <w:kern w:val="0"/>
          <w:sz w:val="36"/>
          <w:szCs w:val="36"/>
        </w:rPr>
      </w:pP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湖南省地质矿产勘查开发局四一三队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w:t>
      </w:r>
      <w:r>
        <w:rPr>
          <w:rFonts w:hint="eastAsia" w:ascii="Times New Roman" w:hAnsi="Times New Roman" w:eastAsia="仿宋_GB2312" w:cs="Times New Roman"/>
          <w:kern w:val="0"/>
          <w:szCs w:val="21"/>
          <w:lang w:eastAsia="zh-CN"/>
        </w:rPr>
        <w:t>使用财政性资金安排三公经费支出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jc w:val="center"/>
        <w:rPr>
          <w:rFonts w:ascii="Times New Roman" w:hAnsi="Times New Roman" w:eastAsia="方正小标宋_GBK" w:cs="Times New Roman"/>
          <w:kern w:val="0"/>
          <w:sz w:val="36"/>
          <w:szCs w:val="36"/>
        </w:rPr>
      </w:pPr>
    </w:p>
    <w:p>
      <w:pPr>
        <w:widowControl/>
        <w:ind w:right="477" w:rightChars="227"/>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湖南省地质矿产勘查开发局四一三队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ind w:right="477" w:rightChars="227"/>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62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8"/>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4835" w:type="dxa"/>
            <w:gridSpan w:val="3"/>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湖南省地质矿产勘查开发局四一三队</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4835"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0"/>
                <w:szCs w:val="20"/>
              </w:rPr>
            </w:pP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8"/>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w:t>
            </w:r>
            <w:r>
              <w:rPr>
                <w:rFonts w:hint="eastAsia" w:ascii="Times New Roman" w:hAnsi="Times New Roman" w:eastAsia="仿宋_GB2312" w:cs="Times New Roman"/>
                <w:kern w:val="0"/>
                <w:szCs w:val="21"/>
                <w:lang w:eastAsia="zh-CN"/>
              </w:rPr>
              <w:t>国有资本经营预算财政拨款收入和支出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pPr>
              <w:widowControl/>
              <w:jc w:val="left"/>
              <w:rPr>
                <w:rFonts w:hint="eastAsia"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560" w:firstLineChars="20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2021年部门决算本年收入总计5299.28万元（其中含年初结转和结余167.57万元），与上年相比，减少969.02万元，减少15.46%，主要原因一是财政拨款与上年度财政结转结余资金减少，二是疫情原因，经营收入减少。</w:t>
      </w:r>
    </w:p>
    <w:p>
      <w:pPr>
        <w:pStyle w:val="11"/>
        <w:ind w:firstLine="560" w:firstLineChars="200"/>
        <w:rPr>
          <w:rFonts w:hint="default"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部门决算本年支出总计5299.28万元（其中含年末结转和结余188.41万元），与上年相比减少969.02万元，减少15.46%，主要原因一是财政拨款的减少及上年度财政结转结余资金减少，在本年度的支出也减少；二是经营支出减少。</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560" w:firstLineChars="20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2021年度收入合计5131.71万元，其中：财政拨款收入3883.98万元，占75.69%；上级补助收入0万元，占0%；事业收入0万元，占0%；经营收入1247.73万元，占24.31%；附属单位上缴收入0万元，占0%；其他收入0万元，占0%。</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560" w:firstLineChars="20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2021年度支出合计5110.87万元，其中：基本支出3357.48万元，占65.7%；项目支出505.66万元，占9.89%；上缴上级支出0万元，占0%；经营支出1247.73万元，占24.41%；对附属单位补助支出0万元，占0%。</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560" w:firstLineChars="20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2021年度财政拨款收入总计4051.55万元（其中含年初一般公共预算财政拨款结转和结余167.57万元），与上年相比，减少804.82万元,减少16.57%，主要是因为一般公共预算财政拨款减少及年初财政拨款结转和结余减少。</w:t>
      </w:r>
    </w:p>
    <w:p>
      <w:pPr>
        <w:pStyle w:val="11"/>
        <w:ind w:firstLine="560" w:firstLineChars="20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财政拨款支出总计4051.55万元（其中含年末财政拨款结转和结余188.41万元），与上年相比，减少804.82万元,减少16.57%，主要是因为一般公共预算财政拨款减少及在本年形成支出的年初财政拨款结转和结余减少。</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700" w:firstLineChars="25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2021年度财政拨款支出3863.14万元，占本年支出合计的75.58%，与上年相比，财政拨款支出减少825.66万元，减少17.61%，主要是因为2021年财政拨款收入比2020年财政拨款收入减少408.49万元。</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700" w:firstLineChars="25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财政拨款支出3863.14万元，主要用于以下方面：社会保障和就业（类）支出592.02万元，占15.32%；卫生健康（类）支出168.93万元，占4.37%；资源勘探工业信息等（类）支出3.5万元，占0.09%；自然资源海洋气象等（类）支出2383.52万元，占61.7%；住房保障（类）支出312.51万元，占8.09%；灾害防治及应急管理（类）支出402.66万元，占10.42%。</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700" w:firstLineChars="250"/>
        <w:rPr>
          <w:rFonts w:hint="eastAsia" w:cs="黑体" w:asciiTheme="minorEastAsia" w:hAnsiTheme="minorEastAsia" w:eastAsiaTheme="minorEastAsia"/>
          <w:color w:val="000000"/>
          <w:kern w:val="2"/>
          <w:sz w:val="28"/>
          <w:szCs w:val="28"/>
          <w:lang w:val="en-US" w:eastAsia="zh-CN" w:bidi="ar-SA"/>
        </w:rPr>
      </w:pPr>
      <w:r>
        <w:rPr>
          <w:rFonts w:hint="eastAsia" w:cs="黑体" w:asciiTheme="minorEastAsia" w:hAnsiTheme="minorEastAsia" w:eastAsiaTheme="minorEastAsia"/>
          <w:color w:val="000000"/>
          <w:kern w:val="2"/>
          <w:sz w:val="28"/>
          <w:szCs w:val="28"/>
          <w:lang w:val="en-US" w:eastAsia="zh-CN" w:bidi="ar-SA"/>
        </w:rPr>
        <w:t>2021年度财政拨款支出年初预算数为3525.05万元，支出决算数为3863.14万元，完成年初预算的109.59%，其中：</w:t>
      </w:r>
    </w:p>
    <w:p>
      <w:pPr>
        <w:pStyle w:val="5"/>
        <w:widowControl/>
        <w:numPr>
          <w:ilvl w:val="0"/>
          <w:numId w:val="2"/>
        </w:numPr>
        <w:shd w:val="clear"/>
        <w:spacing w:line="525" w:lineRule="atLeast"/>
        <w:ind w:firstLine="640" w:firstLineChars="200"/>
        <w:rPr>
          <w:rFonts w:ascii="宋体" w:hAnsi="宋体" w:eastAsia="宋体" w:cs="宋体"/>
          <w:color w:val="333333"/>
          <w:sz w:val="32"/>
          <w:szCs w:val="32"/>
          <w:shd w:val="clear" w:color="auto" w:fill="FFFFFF"/>
        </w:rPr>
      </w:pPr>
      <w:r>
        <w:rPr>
          <w:rFonts w:hint="eastAsia" w:ascii="宋体" w:hAnsi="宋体" w:eastAsia="宋体" w:cs="宋体"/>
          <w:b/>
          <w:bCs/>
          <w:color w:val="000000"/>
          <w:sz w:val="32"/>
          <w:szCs w:val="32"/>
          <w:shd w:val="clear" w:color="auto" w:fill="FFFFFF"/>
        </w:rPr>
        <w:t>社会保障和就业支出（类）行政事业单位养老支出（款）机关事业单位基本养老保险缴费支出（项）。</w:t>
      </w:r>
      <w:r>
        <w:rPr>
          <w:rFonts w:hint="eastAsia" w:cs="黑体" w:asciiTheme="minorEastAsia" w:hAnsiTheme="minorEastAsia" w:eastAsiaTheme="minorEastAsia"/>
          <w:color w:val="000000"/>
          <w:kern w:val="2"/>
          <w:sz w:val="28"/>
          <w:szCs w:val="28"/>
          <w:lang w:val="en-US" w:eastAsia="zh-CN" w:bidi="ar-SA"/>
        </w:rPr>
        <w:t>年初预算为450万元，支出决算为450万元，完成年初预算的100%，决算数与预算数持平。</w:t>
      </w:r>
    </w:p>
    <w:p>
      <w:pPr>
        <w:pStyle w:val="5"/>
        <w:widowControl/>
        <w:numPr>
          <w:ilvl w:val="0"/>
          <w:numId w:val="2"/>
        </w:numPr>
        <w:shd w:val="clear"/>
        <w:spacing w:line="525" w:lineRule="atLeast"/>
        <w:ind w:firstLine="640" w:firstLineChars="200"/>
        <w:rPr>
          <w:rFonts w:ascii="宋体" w:hAnsi="宋体" w:eastAsia="宋体" w:cs="宋体"/>
          <w:color w:val="333333"/>
          <w:sz w:val="32"/>
          <w:szCs w:val="32"/>
          <w:shd w:val="clear" w:color="auto" w:fill="FFFFFF"/>
        </w:rPr>
      </w:pPr>
      <w:r>
        <w:rPr>
          <w:rFonts w:hint="eastAsia" w:ascii="宋体" w:hAnsi="宋体" w:eastAsia="宋体" w:cs="宋体"/>
          <w:b/>
          <w:bCs/>
          <w:color w:val="000000"/>
          <w:sz w:val="32"/>
          <w:szCs w:val="32"/>
          <w:shd w:val="clear" w:color="auto" w:fill="FFFFFF"/>
        </w:rPr>
        <w:t>社会保障和就业支出（类）行政事业单位养老支出（款）事业单位离退休支出（项）。</w:t>
      </w:r>
      <w:r>
        <w:rPr>
          <w:rFonts w:hint="eastAsia" w:cs="黑体" w:asciiTheme="minorEastAsia" w:hAnsiTheme="minorEastAsia" w:eastAsiaTheme="minorEastAsia"/>
          <w:color w:val="000000"/>
          <w:kern w:val="2"/>
          <w:sz w:val="28"/>
          <w:szCs w:val="28"/>
          <w:lang w:val="en-US" w:eastAsia="zh-CN" w:bidi="ar-SA"/>
        </w:rPr>
        <w:t>年初预算为142.02万元，支出决算为142.02万元，完成年初预算的100%，决算数与预算数持平。</w:t>
      </w:r>
    </w:p>
    <w:p>
      <w:pPr>
        <w:pStyle w:val="5"/>
        <w:widowControl/>
        <w:shd w:val="clear"/>
        <w:spacing w:line="525" w:lineRule="atLeast"/>
        <w:ind w:firstLine="643"/>
        <w:rPr>
          <w:rFonts w:ascii="微软雅黑" w:hAnsi="微软雅黑" w:eastAsia="微软雅黑" w:cs="微软雅黑"/>
          <w:color w:val="333333"/>
          <w:sz w:val="18"/>
          <w:szCs w:val="18"/>
        </w:rPr>
      </w:pPr>
      <w:r>
        <w:rPr>
          <w:rFonts w:hint="eastAsia" w:ascii="宋体" w:hAnsi="宋体" w:eastAsia="宋体" w:cs="宋体"/>
          <w:b/>
          <w:bCs/>
          <w:color w:val="000000"/>
          <w:sz w:val="32"/>
          <w:szCs w:val="32"/>
          <w:shd w:val="clear" w:color="auto" w:fill="FFFFFF"/>
        </w:rPr>
        <w:t>3、</w:t>
      </w:r>
      <w:r>
        <w:rPr>
          <w:rFonts w:ascii="黑体" w:hAnsi="宋体" w:eastAsia="黑体" w:cs="黑体"/>
          <w:b/>
          <w:bCs/>
          <w:color w:val="333333"/>
          <w:sz w:val="32"/>
          <w:szCs w:val="32"/>
          <w:shd w:val="clear" w:color="auto" w:fill="FFFFFF"/>
        </w:rPr>
        <w:t>卫生健康（类）行政事业单位医疗（款）事业单位医疗支出（项）。</w:t>
      </w:r>
      <w:r>
        <w:rPr>
          <w:rFonts w:hint="eastAsia" w:cs="黑体" w:asciiTheme="minorEastAsia" w:hAnsiTheme="minorEastAsia" w:eastAsiaTheme="minorEastAsia"/>
          <w:color w:val="000000"/>
          <w:kern w:val="2"/>
          <w:sz w:val="28"/>
          <w:szCs w:val="28"/>
          <w:lang w:val="en-US" w:eastAsia="zh-CN" w:bidi="ar-SA"/>
        </w:rPr>
        <w:t>年初预算为168.93万元，支出决算为168.93万元，完成年初预算的100%，决算数与预算数持平。</w:t>
      </w:r>
    </w:p>
    <w:p>
      <w:pPr>
        <w:pStyle w:val="5"/>
        <w:widowControl/>
        <w:shd w:val="clear"/>
        <w:spacing w:line="525" w:lineRule="atLeast"/>
        <w:ind w:firstLine="640"/>
        <w:rPr>
          <w:rFonts w:ascii="微软雅黑" w:hAnsi="微软雅黑" w:eastAsia="微软雅黑" w:cs="微软雅黑"/>
          <w:color w:val="333333"/>
          <w:sz w:val="18"/>
          <w:szCs w:val="18"/>
        </w:rPr>
      </w:pPr>
      <w:r>
        <w:rPr>
          <w:rFonts w:hint="eastAsia" w:ascii="宋体" w:hAnsi="宋体" w:eastAsia="宋体" w:cs="宋体"/>
          <w:b/>
          <w:bCs/>
          <w:color w:val="000000"/>
          <w:sz w:val="32"/>
          <w:szCs w:val="32"/>
          <w:shd w:val="clear" w:color="auto" w:fill="FFFFFF"/>
          <w:lang w:val="en-US" w:eastAsia="zh-CN"/>
        </w:rPr>
        <w:t>4</w:t>
      </w:r>
      <w:r>
        <w:rPr>
          <w:rFonts w:hint="eastAsia" w:ascii="宋体" w:hAnsi="宋体" w:eastAsia="宋体" w:cs="宋体"/>
          <w:b/>
          <w:bCs/>
          <w:color w:val="000000"/>
          <w:sz w:val="32"/>
          <w:szCs w:val="32"/>
          <w:shd w:val="clear" w:color="auto" w:fill="FFFFFF"/>
        </w:rPr>
        <w:t>、资源勘探信息支出（类）资源勘探开发（款）其他资源勘探业支出（项）。</w:t>
      </w:r>
      <w:r>
        <w:rPr>
          <w:rFonts w:hint="eastAsia" w:cs="黑体" w:asciiTheme="minorEastAsia" w:hAnsiTheme="minorEastAsia" w:eastAsiaTheme="minorEastAsia"/>
          <w:color w:val="000000"/>
          <w:sz w:val="28"/>
          <w:szCs w:val="28"/>
          <w:lang w:val="en-US" w:eastAsia="zh-CN" w:bidi="ar-SA"/>
        </w:rPr>
        <w:t>年初预算为0万元，支出决算为3.5万元。</w:t>
      </w:r>
      <w:r>
        <w:rPr>
          <w:rFonts w:hint="eastAsia" w:asciiTheme="minorEastAsia" w:hAnsiTheme="minorEastAsia" w:eastAsiaTheme="minorEastAsia"/>
          <w:sz w:val="28"/>
          <w:szCs w:val="28"/>
        </w:rPr>
        <w:t>由于预算数为0，无法计算百分比。</w:t>
      </w:r>
      <w:r>
        <w:rPr>
          <w:rFonts w:hint="eastAsia" w:cs="黑体" w:asciiTheme="minorEastAsia" w:hAnsiTheme="minorEastAsia" w:eastAsiaTheme="minorEastAsia"/>
          <w:color w:val="000000"/>
          <w:sz w:val="28"/>
          <w:szCs w:val="28"/>
          <w:lang w:val="en-US" w:eastAsia="zh-CN" w:bidi="ar-SA"/>
        </w:rPr>
        <w:t>决算数大于预算数的主要原因是：地勘单位改革及相关补助资金（省直）项目3.5万元为年中追加项目。</w:t>
      </w:r>
    </w:p>
    <w:p>
      <w:pPr>
        <w:pStyle w:val="5"/>
        <w:widowControl/>
        <w:shd w:val="clear"/>
        <w:spacing w:line="525" w:lineRule="atLeast"/>
        <w:ind w:firstLine="640" w:firstLineChars="200"/>
        <w:rPr>
          <w:rFonts w:ascii="微软雅黑" w:hAnsi="微软雅黑" w:eastAsia="微软雅黑" w:cs="微软雅黑"/>
          <w:color w:val="333333"/>
          <w:sz w:val="18"/>
          <w:szCs w:val="18"/>
        </w:rPr>
      </w:pPr>
      <w:r>
        <w:rPr>
          <w:rFonts w:hint="eastAsia" w:ascii="宋体" w:hAnsi="宋体" w:eastAsia="宋体" w:cs="宋体"/>
          <w:b/>
          <w:bCs/>
          <w:color w:val="000000"/>
          <w:sz w:val="32"/>
          <w:szCs w:val="32"/>
          <w:shd w:val="clear" w:color="auto" w:fill="FFFFFF"/>
          <w:lang w:val="en-US" w:eastAsia="zh-CN"/>
        </w:rPr>
        <w:t>5</w:t>
      </w:r>
      <w:r>
        <w:rPr>
          <w:rFonts w:hint="eastAsia" w:ascii="宋体" w:hAnsi="宋体" w:eastAsia="宋体" w:cs="宋体"/>
          <w:b/>
          <w:bCs/>
          <w:color w:val="000000"/>
          <w:sz w:val="32"/>
          <w:szCs w:val="32"/>
          <w:shd w:val="clear" w:color="auto" w:fill="FFFFFF"/>
        </w:rPr>
        <w:t>、自然资源海洋气象等支出（类）自然资源事务（款）自然资源行业业务管理（项）。</w:t>
      </w:r>
      <w:r>
        <w:rPr>
          <w:rFonts w:hint="eastAsia" w:cs="黑体" w:asciiTheme="minorEastAsia" w:hAnsiTheme="minorEastAsia" w:eastAsiaTheme="minorEastAsia"/>
          <w:color w:val="000000"/>
          <w:sz w:val="28"/>
          <w:szCs w:val="28"/>
          <w:lang w:val="en-US" w:eastAsia="zh-CN" w:bidi="ar-SA"/>
        </w:rPr>
        <w:t>年初预算为15万元，支出决算为15万元，完成年初预算的100%，决算数与预算数持平。</w:t>
      </w:r>
    </w:p>
    <w:p>
      <w:pPr>
        <w:pStyle w:val="5"/>
        <w:widowControl/>
        <w:shd w:val="clear"/>
        <w:spacing w:line="525" w:lineRule="atLeast"/>
        <w:ind w:firstLine="640" w:firstLineChars="200"/>
        <w:rPr>
          <w:rFonts w:ascii="微软雅黑" w:hAnsi="微软雅黑" w:eastAsia="微软雅黑" w:cs="微软雅黑"/>
          <w:sz w:val="18"/>
          <w:szCs w:val="18"/>
        </w:rPr>
      </w:pPr>
      <w:r>
        <w:rPr>
          <w:rFonts w:hint="eastAsia" w:ascii="宋体" w:hAnsi="宋体" w:eastAsia="宋体" w:cs="宋体"/>
          <w:b/>
          <w:bCs/>
          <w:color w:val="000000"/>
          <w:sz w:val="32"/>
          <w:szCs w:val="32"/>
          <w:shd w:val="clear" w:color="auto" w:fill="FFFFFF"/>
          <w:lang w:val="en-US" w:eastAsia="zh-CN"/>
        </w:rPr>
        <w:t>6</w:t>
      </w:r>
      <w:r>
        <w:rPr>
          <w:rFonts w:hint="eastAsia" w:ascii="宋体" w:hAnsi="宋体" w:eastAsia="宋体" w:cs="宋体"/>
          <w:b/>
          <w:bCs/>
          <w:color w:val="000000"/>
          <w:sz w:val="32"/>
          <w:szCs w:val="32"/>
          <w:shd w:val="clear" w:color="auto" w:fill="FFFFFF"/>
        </w:rPr>
        <w:t>、自然资源海洋气象等支出（类）自然资源事务（款）地质矿产资源与环境调查（项）。</w:t>
      </w:r>
      <w:r>
        <w:rPr>
          <w:rFonts w:hint="eastAsia" w:cs="黑体" w:asciiTheme="minorEastAsia" w:hAnsiTheme="minorEastAsia" w:eastAsiaTheme="minorEastAsia"/>
          <w:color w:val="000000"/>
          <w:sz w:val="28"/>
          <w:szCs w:val="28"/>
          <w:lang w:val="en-US" w:eastAsia="zh-CN" w:bidi="ar-SA"/>
        </w:rPr>
        <w:t>年初预算为60.79万元，支出决算为84.5万元，完成年初预算的139%，决算数大于预算数的主要原因是：矿产资源国情调查;桑植县调查及张家界市汇总项目为年初预算60.79万元，2021年支出60.79万元；2021年桑植县调查及张家界市汇总项目追加预算88万元，2021年支出23.71万元，年末结转64.29万元在2022年支出。</w:t>
      </w:r>
    </w:p>
    <w:p>
      <w:pPr>
        <w:pStyle w:val="5"/>
        <w:widowControl/>
        <w:shd w:val="clear"/>
        <w:spacing w:line="525" w:lineRule="atLeast"/>
        <w:ind w:left="640"/>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lang w:val="en-US" w:eastAsia="zh-CN"/>
        </w:rPr>
        <w:t>7</w:t>
      </w:r>
      <w:r>
        <w:rPr>
          <w:rFonts w:hint="eastAsia" w:ascii="宋体" w:hAnsi="宋体" w:eastAsia="宋体" w:cs="宋体"/>
          <w:b/>
          <w:bCs/>
          <w:color w:val="000000"/>
          <w:sz w:val="32"/>
          <w:szCs w:val="32"/>
          <w:shd w:val="clear" w:color="auto" w:fill="FFFFFF"/>
        </w:rPr>
        <w:t>、自然资源海洋气象等支出（类）自然资源事务（款）事业运行（项）。</w:t>
      </w:r>
    </w:p>
    <w:p>
      <w:pPr>
        <w:pStyle w:val="5"/>
        <w:widowControl/>
        <w:shd w:val="clear"/>
        <w:spacing w:line="525" w:lineRule="atLeast"/>
        <w:ind w:firstLine="643"/>
        <w:rPr>
          <w:rFonts w:hint="eastAsia" w:cs="黑体" w:asciiTheme="minorEastAsia" w:hAnsiTheme="minorEastAsia" w:eastAsiaTheme="minorEastAsia"/>
          <w:color w:val="000000"/>
          <w:sz w:val="28"/>
          <w:szCs w:val="28"/>
          <w:lang w:val="en-US" w:eastAsia="zh-CN" w:bidi="ar-SA"/>
        </w:rPr>
      </w:pPr>
      <w:r>
        <w:rPr>
          <w:rFonts w:hint="eastAsia" w:cs="黑体" w:asciiTheme="minorEastAsia" w:hAnsiTheme="minorEastAsia" w:eastAsiaTheme="minorEastAsia"/>
          <w:color w:val="000000"/>
          <w:sz w:val="28"/>
          <w:szCs w:val="28"/>
          <w:lang w:val="en-US" w:eastAsia="zh-CN" w:bidi="ar-SA"/>
        </w:rPr>
        <w:t>年初预算为2284.02万元，支出决算为2284.02万元，完成年初预算的100%，决算数与预算数持平。</w:t>
      </w:r>
    </w:p>
    <w:p>
      <w:pPr>
        <w:pStyle w:val="5"/>
        <w:widowControl/>
        <w:numPr>
          <w:ilvl w:val="0"/>
          <w:numId w:val="3"/>
        </w:numPr>
        <w:shd w:val="clear"/>
        <w:spacing w:line="525" w:lineRule="atLeast"/>
        <w:ind w:firstLine="643"/>
        <w:rPr>
          <w:rFonts w:ascii="黑体" w:hAnsi="宋体" w:eastAsia="黑体" w:cs="黑体"/>
          <w:b/>
          <w:bCs/>
          <w:color w:val="333333"/>
          <w:sz w:val="32"/>
          <w:szCs w:val="32"/>
          <w:shd w:val="clear" w:color="auto" w:fill="FFFFFF"/>
        </w:rPr>
      </w:pPr>
      <w:r>
        <w:rPr>
          <w:rFonts w:ascii="黑体" w:hAnsi="宋体" w:eastAsia="黑体" w:cs="黑体"/>
          <w:b/>
          <w:bCs/>
          <w:color w:val="333333"/>
          <w:sz w:val="32"/>
          <w:szCs w:val="32"/>
          <w:shd w:val="clear" w:color="auto" w:fill="FFFFFF"/>
        </w:rPr>
        <w:t>住房保障（类）住房改革（款）住房公积金（项）。</w:t>
      </w:r>
    </w:p>
    <w:p>
      <w:pPr>
        <w:pStyle w:val="5"/>
        <w:widowControl/>
        <w:numPr>
          <w:ilvl w:val="0"/>
          <w:numId w:val="0"/>
        </w:numPr>
        <w:shd w:val="clear"/>
        <w:spacing w:line="525" w:lineRule="atLeast"/>
        <w:ind w:firstLine="560" w:firstLineChars="200"/>
        <w:rPr>
          <w:rFonts w:ascii="宋体" w:hAnsi="宋体" w:eastAsia="宋体" w:cs="宋体"/>
          <w:b/>
          <w:bCs/>
          <w:color w:val="333333"/>
          <w:sz w:val="32"/>
          <w:szCs w:val="32"/>
          <w:shd w:val="clear" w:color="auto" w:fill="FFFFFF"/>
        </w:rPr>
      </w:pPr>
      <w:r>
        <w:rPr>
          <w:rFonts w:hint="eastAsia" w:cs="黑体" w:asciiTheme="minorEastAsia" w:hAnsiTheme="minorEastAsia" w:eastAsiaTheme="minorEastAsia"/>
          <w:color w:val="000000"/>
          <w:sz w:val="28"/>
          <w:szCs w:val="28"/>
          <w:lang w:val="en-US" w:eastAsia="zh-CN" w:bidi="ar-SA"/>
        </w:rPr>
        <w:t>年初预算312.51万元，支出决算为312.51万元，完成年初预算的100%，决算数与预算数持平。</w:t>
      </w:r>
    </w:p>
    <w:p>
      <w:pPr>
        <w:pStyle w:val="5"/>
        <w:widowControl/>
        <w:shd w:val="clear"/>
        <w:spacing w:line="525" w:lineRule="atLeast"/>
        <w:ind w:firstLine="643"/>
        <w:rPr>
          <w:rFonts w:ascii="微软雅黑" w:hAnsi="微软雅黑" w:eastAsia="微软雅黑" w:cs="微软雅黑"/>
          <w:color w:val="333333"/>
          <w:sz w:val="18"/>
          <w:szCs w:val="18"/>
        </w:rPr>
      </w:pPr>
      <w:r>
        <w:rPr>
          <w:rFonts w:hint="eastAsia" w:ascii="黑体" w:hAnsi="宋体" w:eastAsia="黑体" w:cs="黑体"/>
          <w:b/>
          <w:bCs/>
          <w:color w:val="333333"/>
          <w:sz w:val="32"/>
          <w:szCs w:val="32"/>
          <w:shd w:val="clear" w:color="auto" w:fill="FFFFFF"/>
          <w:lang w:val="en-US" w:eastAsia="zh-CN"/>
        </w:rPr>
        <w:t>9</w:t>
      </w:r>
      <w:r>
        <w:rPr>
          <w:rFonts w:hint="eastAsia" w:ascii="黑体" w:hAnsi="宋体" w:eastAsia="黑体" w:cs="黑体"/>
          <w:b/>
          <w:bCs/>
          <w:color w:val="333333"/>
          <w:sz w:val="32"/>
          <w:szCs w:val="32"/>
          <w:shd w:val="clear" w:color="auto" w:fill="FFFFFF"/>
        </w:rPr>
        <w:t>、</w:t>
      </w:r>
      <w:r>
        <w:rPr>
          <w:rFonts w:ascii="黑体" w:hAnsi="宋体" w:eastAsia="黑体" w:cs="黑体"/>
          <w:b/>
          <w:bCs/>
          <w:color w:val="333333"/>
          <w:sz w:val="32"/>
          <w:szCs w:val="32"/>
          <w:shd w:val="clear" w:color="auto" w:fill="FFFFFF"/>
        </w:rPr>
        <w:t>灾害防治及应急管理（类）自然灾害防治（款）地质灾害防治（项）。</w:t>
      </w:r>
    </w:p>
    <w:p>
      <w:pPr>
        <w:pStyle w:val="5"/>
        <w:widowControl/>
        <w:shd w:val="clear"/>
        <w:spacing w:line="525" w:lineRule="atLeast"/>
        <w:ind w:firstLine="640"/>
        <w:rPr>
          <w:rFonts w:hint="default" w:cs="黑体" w:asciiTheme="minorEastAsia" w:hAnsiTheme="minorEastAsia" w:eastAsiaTheme="minorEastAsia"/>
          <w:color w:val="000000"/>
          <w:sz w:val="28"/>
          <w:szCs w:val="28"/>
          <w:lang w:val="en-US" w:eastAsia="zh-CN" w:bidi="ar-SA"/>
        </w:rPr>
      </w:pPr>
      <w:r>
        <w:rPr>
          <w:rFonts w:hint="eastAsia" w:cs="黑体" w:asciiTheme="minorEastAsia" w:hAnsiTheme="minorEastAsia" w:eastAsiaTheme="minorEastAsia"/>
          <w:color w:val="000000"/>
          <w:sz w:val="28"/>
          <w:szCs w:val="28"/>
          <w:lang w:val="en-US" w:eastAsia="zh-CN" w:bidi="ar-SA"/>
        </w:rPr>
        <w:t>年初预算为91.78万元，支出决算为402.66万元，完成年初预算的438.72%，决算数大于预算数的原因是：预拨2020年度自然灾害防治体系建设补助资金（第一批）项目91.78万元为年初预算，2021年支出91.78万元。年中追加预算项目有：2021年地质灾害防治项目235万元，本年支出110.88万元，年末结转和结余124.12万元；提前下达2021年自然灾害防治体系建设补助资金预算（第一批）项目200万元，本年支出200万元。</w:t>
      </w:r>
    </w:p>
    <w:p>
      <w:pPr>
        <w:pStyle w:val="11"/>
        <w:shd w:val="clear"/>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2021年度财政拨款基本支出3357.48万元，其中：人员经费3275.48万元，占基本支出的97.56%,主要包括基本工资、津贴补贴、绩效工资、养老保险、住房公积金、职工基本医疗保险、抚恤金、生活补助等；公用经费82万元，占基本支出的2.44%，主要包括办公费、水费、电费、差旅费、工会经费等。</w:t>
      </w:r>
    </w:p>
    <w:p>
      <w:pPr>
        <w:pStyle w:val="11"/>
        <w:shd w:val="clear"/>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shd w:val="clear"/>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2021年度“三公”经费财政拨款支出预算为0万元，支出决算为0万元，</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其中：</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因公出国（境）费支出预算为0万元，支出决算为0万元，</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决算数与预算数一致，与上年决算数一致。</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公务接待费支出预算为0万元，支出决算为0万元，</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决算数与预算数一致，与上年决算数一致。</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公务用车购置费支出预算为0万元，支出决算为0万元，</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决算数与预算数一致，与上年决算数一致。</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公务用车运行维护费支出预算为0万元，支出决算为0万元，</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决算数与预算数一致，与上年决算数一致。</w:t>
      </w:r>
    </w:p>
    <w:p>
      <w:pPr>
        <w:pStyle w:val="11"/>
        <w:shd w:val="clear"/>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2021年度“三公”经费财政拨款支出决算中，公务接待费支出决算0万元，占0%,因公出国（境）费支出决算0万元，占0%,公务用车购置费及运行维护费支出决算0万元，占0%。其中：</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1、因公出国（境）费支出决算为0万元，全年安排因公出国（境）团组0个，累计0人次。</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2、公务接待费支出决算为0万元，全年共接待来访团组0个、来宾0人次。</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3、公务用车购置费及运行维护费支出决算为0万元，其中：公务用车购置费0万元，本单位更新公务用车0辆。公务用车运行维护费0万元，截止2021年12月31日，我单位开支财政拨款的公</w:t>
      </w:r>
      <w:bookmarkStart w:id="1" w:name="_GoBack"/>
      <w:bookmarkEnd w:id="1"/>
      <w:r>
        <w:rPr>
          <w:rFonts w:hint="eastAsia" w:asciiTheme="minorEastAsia" w:hAnsiTheme="minorEastAsia" w:eastAsiaTheme="minorEastAsia"/>
          <w:sz w:val="28"/>
          <w:szCs w:val="28"/>
          <w:lang w:val="en-US" w:eastAsia="zh-CN"/>
        </w:rPr>
        <w:t>务用车保有量为0辆。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2021年度政府性基金预算财政拨款收入0万元；年初结转和结余0万元；支出0万元，其中基本支出0万元，项目支出0万元；年末结转和结余0万元。本单位无政府性基金收支。</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本单位2021年度机关运行经费支出0万元，比年初预算数增加0万元，增长0%。主要原因是：本单位非行政单位和参照公务员法管理事业单位，无机关运行经费。</w:t>
      </w:r>
    </w:p>
    <w:p>
      <w:pPr>
        <w:pStyle w:val="11"/>
        <w:ind w:firstLine="640" w:firstLineChars="200"/>
        <w:rPr>
          <w:rFonts w:hAnsi="黑体"/>
          <w:b/>
          <w:sz w:val="32"/>
          <w:szCs w:val="32"/>
        </w:rPr>
      </w:pPr>
      <w:r>
        <w:rPr>
          <w:rFonts w:hint="eastAsia" w:hAnsi="黑体"/>
          <w:b/>
          <w:sz w:val="32"/>
          <w:szCs w:val="32"/>
        </w:rPr>
        <w:t>十、一般性支出情况说明</w:t>
      </w:r>
    </w:p>
    <w:p>
      <w:pPr>
        <w:pStyle w:val="11"/>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2021年本单位开支会议费0万元，用于召开0会议，人数0人，开支培训费0万元，用于开展0培训，人数0人，未举办节庆、晚会、论坛、赛事活动，开支0万元。</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560" w:firstLineChars="200"/>
        <w:rPr>
          <w:rFonts w:hint="eastAsia" w:asciiTheme="minorEastAsia" w:hAnsiTheme="minorEastAsia" w:eastAsiaTheme="minorEastAsia" w:cstheme="minorBidi"/>
          <w:color w:val="auto"/>
          <w:kern w:val="2"/>
          <w:sz w:val="28"/>
          <w:szCs w:val="28"/>
        </w:rPr>
      </w:pPr>
      <w:r>
        <w:rPr>
          <w:rFonts w:hint="eastAsia" w:asciiTheme="minorEastAsia" w:hAnsiTheme="minorEastAsia" w:eastAsiaTheme="minorEastAsia" w:cstheme="minorBidi"/>
          <w:color w:val="auto"/>
          <w:kern w:val="2"/>
          <w:sz w:val="28"/>
          <w:szCs w:val="28"/>
        </w:rPr>
        <w:t>本部门2021年度政府采购支出总额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万元，其中：政府采购货物支出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万元、政府采购工程支出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万元、政府采购服务支出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万元。授予中小企业合同金额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万元，占政府采购支出总额的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%，其中：授予小微企业合同金额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万元，占授予中小企业合同金额的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%；货物采购授予中小企业合同金额占货物支出金额的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%，工程采购授予中小企业合同金额占工程支出金额的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%，服务采购授予中小企业合同金额占服务支出金额的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ind w:firstLine="640" w:firstLineChars="200"/>
        <w:rPr>
          <w:rFonts w:hAnsi="黑体"/>
          <w:b/>
          <w:sz w:val="32"/>
          <w:szCs w:val="32"/>
        </w:rPr>
      </w:pPr>
      <w:r>
        <w:rPr>
          <w:rFonts w:hint="eastAsia" w:hAnsi="黑体"/>
          <w:b/>
          <w:sz w:val="32"/>
          <w:szCs w:val="32"/>
        </w:rPr>
        <w:t>十三、2021年度预算绩效情况说明</w:t>
      </w:r>
    </w:p>
    <w:p>
      <w:pPr>
        <w:pStyle w:val="11"/>
        <w:jc w:val="both"/>
        <w:rPr>
          <w:rFonts w:asciiTheme="minorEastAsia" w:hAnsiTheme="minorEastAsia" w:eastAsiaTheme="minorEastAsia" w:cstheme="minorBidi"/>
          <w:color w:val="auto"/>
          <w:kern w:val="2"/>
          <w:sz w:val="28"/>
          <w:szCs w:val="28"/>
          <w:highlight w:val="none"/>
        </w:rPr>
      </w:pP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28"/>
          <w:szCs w:val="28"/>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spacing w:line="525" w:lineRule="atLeast"/>
        <w:jc w:val="left"/>
        <w:rPr>
          <w:rFonts w:hint="eastAsia" w:ascii="宋体" w:hAnsi="宋体" w:eastAsia="宋体" w:cs="宋体"/>
          <w:color w:val="000000"/>
          <w:kern w:val="0"/>
          <w:sz w:val="32"/>
          <w:szCs w:val="32"/>
          <w:shd w:val="clear" w:color="auto" w:fill="FFFFFF"/>
          <w:lang w:bidi="ar"/>
        </w:rPr>
      </w:pPr>
    </w:p>
    <w:p>
      <w:pPr>
        <w:ind w:firstLine="560" w:firstLineChars="200"/>
        <w:jc w:val="left"/>
        <w:rPr>
          <w:rFonts w:hint="default" w:ascii="宋体" w:hAnsi="宋体" w:cs="宋体"/>
          <w:color w:val="000000"/>
          <w:kern w:val="0"/>
          <w:sz w:val="28"/>
          <w:szCs w:val="28"/>
          <w:lang w:val="en-US" w:eastAsia="zh-CN"/>
        </w:rPr>
      </w:pPr>
      <w:r>
        <w:rPr>
          <w:rFonts w:hint="default" w:ascii="宋体" w:hAnsi="宋体" w:cs="宋体"/>
          <w:color w:val="000000"/>
          <w:kern w:val="0"/>
          <w:sz w:val="28"/>
          <w:szCs w:val="28"/>
          <w:lang w:val="en-US" w:eastAsia="zh-CN"/>
        </w:rPr>
        <w:t>一、基本支出：指为保障机构正常运转、完成日常工作任务而发生的各项支出，包括人员支出和公用支出。</w:t>
      </w:r>
    </w:p>
    <w:p>
      <w:pPr>
        <w:ind w:firstLine="560" w:firstLineChars="200"/>
        <w:jc w:val="left"/>
        <w:rPr>
          <w:rFonts w:hint="default" w:ascii="宋体" w:hAnsi="宋体" w:cs="宋体"/>
          <w:color w:val="000000"/>
          <w:kern w:val="0"/>
          <w:sz w:val="28"/>
          <w:szCs w:val="28"/>
          <w:lang w:val="en-US" w:eastAsia="zh-CN"/>
        </w:rPr>
      </w:pPr>
      <w:r>
        <w:rPr>
          <w:rFonts w:hint="default" w:ascii="宋体" w:hAnsi="宋体" w:cs="宋体"/>
          <w:color w:val="000000"/>
          <w:kern w:val="0"/>
          <w:sz w:val="28"/>
          <w:szCs w:val="28"/>
          <w:lang w:val="en-US" w:eastAsia="zh-CN"/>
        </w:rPr>
        <w:t>二、项目支出：指在基本支出以外为完成相关行政任务和事业发展目标所发生的各项支出。</w:t>
      </w:r>
    </w:p>
    <w:p>
      <w:pPr>
        <w:ind w:firstLine="560" w:firstLineChars="200"/>
        <w:jc w:val="left"/>
        <w:rPr>
          <w:rFonts w:hint="default" w:ascii="宋体" w:hAnsi="宋体" w:cs="宋体"/>
          <w:color w:val="000000"/>
          <w:kern w:val="0"/>
          <w:sz w:val="28"/>
          <w:szCs w:val="28"/>
          <w:lang w:val="en-US" w:eastAsia="zh-CN"/>
        </w:rPr>
      </w:pPr>
      <w:r>
        <w:rPr>
          <w:rFonts w:hint="default" w:ascii="宋体" w:hAnsi="宋体" w:cs="宋体"/>
          <w:color w:val="000000"/>
          <w:kern w:val="0"/>
          <w:sz w:val="28"/>
          <w:szCs w:val="28"/>
          <w:lang w:val="en-US" w:eastAsia="zh-CN"/>
        </w:rPr>
        <w:t>三、“三公”经费：指通过财政拨款资金安排的因公出国（境）费、公务用车购置及运行费和公务接待费支出。</w:t>
      </w:r>
    </w:p>
    <w:p>
      <w:pPr>
        <w:ind w:firstLine="560" w:firstLineChars="200"/>
        <w:jc w:val="left"/>
        <w:rPr>
          <w:rFonts w:hint="default" w:ascii="宋体" w:hAnsi="宋体" w:cs="宋体"/>
          <w:color w:val="000000"/>
          <w:kern w:val="0"/>
          <w:sz w:val="28"/>
          <w:szCs w:val="28"/>
          <w:lang w:val="en-US" w:eastAsia="zh-CN"/>
        </w:rPr>
      </w:pPr>
      <w:r>
        <w:rPr>
          <w:rFonts w:hint="default" w:ascii="宋体" w:hAnsi="宋体" w:cs="宋体"/>
          <w:color w:val="000000"/>
          <w:kern w:val="0"/>
          <w:sz w:val="28"/>
          <w:szCs w:val="28"/>
          <w:lang w:val="en-US" w:eastAsia="zh-CN"/>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560" w:firstLineChars="200"/>
        <w:jc w:val="left"/>
        <w:rPr>
          <w:rFonts w:hint="default" w:ascii="宋体" w:hAnsi="宋体" w:cs="宋体"/>
          <w:color w:val="000000"/>
          <w:kern w:val="0"/>
          <w:sz w:val="28"/>
          <w:szCs w:val="28"/>
          <w:lang w:val="en-US" w:eastAsia="zh-CN"/>
        </w:rPr>
      </w:pPr>
      <w:r>
        <w:rPr>
          <w:rFonts w:hint="default" w:ascii="宋体" w:hAnsi="宋体" w:cs="宋体"/>
          <w:color w:val="000000"/>
          <w:kern w:val="0"/>
          <w:sz w:val="28"/>
          <w:szCs w:val="28"/>
          <w:lang w:val="en-US" w:eastAsia="zh-CN"/>
        </w:rPr>
        <w:t>五、自然资源海洋气象等事务支出：是指用于自然资源、海洋、测绘等方面的支出。</w:t>
      </w: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六、灾害防治及应急管理支出：是指用于地质灾害防治和应急管理等方面的支出。</w:t>
      </w:r>
    </w:p>
    <w:p>
      <w:pPr>
        <w:widowControl/>
        <w:shd w:val="clear"/>
        <w:spacing w:line="420" w:lineRule="atLeast"/>
        <w:ind w:firstLine="640"/>
        <w:jc w:val="left"/>
        <w:rPr>
          <w:rFonts w:hint="default" w:eastAsia="宋体" w:cs="宋体" w:asciiTheme="majorAscii" w:hAnsiTheme="majorAscii"/>
          <w:kern w:val="0"/>
          <w:sz w:val="32"/>
          <w:szCs w:val="32"/>
          <w:shd w:val="clear" w:color="auto" w:fill="FFFFFF"/>
          <w:lang w:val="en-US" w:eastAsia="zh-CN" w:bidi="ar"/>
        </w:rPr>
      </w:pPr>
    </w:p>
    <w:p>
      <w:pPr>
        <w:widowControl/>
        <w:shd w:val="clear"/>
        <w:spacing w:line="420" w:lineRule="atLeast"/>
        <w:ind w:firstLine="640"/>
        <w:jc w:val="left"/>
        <w:rPr>
          <w:rFonts w:hint="eastAsia" w:ascii="宋体" w:hAnsi="宋体" w:eastAsia="宋体" w:cs="宋体"/>
          <w:kern w:val="0"/>
          <w:sz w:val="32"/>
          <w:szCs w:val="32"/>
          <w:shd w:val="clear" w:color="auto" w:fill="FFFFFF"/>
          <w:lang w:bidi="ar"/>
        </w:rPr>
      </w:pPr>
    </w:p>
    <w:p>
      <w:pPr>
        <w:widowControl/>
        <w:jc w:val="left"/>
        <w:rPr>
          <w:rFonts w:eastAsia="黑体" w:cs="黑体" w:asciiTheme="minorEastAsia" w:hAnsiTheme="minorEastAsia"/>
          <w:color w:val="000000"/>
          <w:kern w:val="0"/>
          <w:sz w:val="28"/>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eastAsia="黑体"/>
          <w:sz w:val="32"/>
          <w:szCs w:val="32"/>
        </w:rPr>
      </w:pPr>
      <w:r>
        <w:rPr>
          <w:rFonts w:ascii="黑体" w:eastAsia="黑体" w:cs="黑体"/>
          <w:color w:val="000000"/>
          <w:kern w:val="0"/>
          <w:sz w:val="70"/>
          <w:szCs w:val="70"/>
        </w:rPr>
        <w:br w:type="page"/>
      </w:r>
    </w:p>
    <w:p>
      <w:pPr>
        <w:ind w:firstLine="640" w:firstLineChars="200"/>
        <w:rPr>
          <w:rFonts w:ascii="黑体" w:eastAsia="黑体"/>
          <w:sz w:val="32"/>
          <w:szCs w:val="32"/>
        </w:rPr>
      </w:pPr>
    </w:p>
    <w:p>
      <w:pPr>
        <w:jc w:val="center"/>
        <w:rPr>
          <w:rFonts w:ascii="黑体" w:eastAsia="黑体"/>
          <w:sz w:val="44"/>
          <w:szCs w:val="44"/>
        </w:rPr>
      </w:pPr>
      <w:r>
        <w:rPr>
          <w:rFonts w:hint="eastAsia" w:ascii="黑体" w:eastAsia="黑体"/>
          <w:sz w:val="44"/>
          <w:szCs w:val="44"/>
        </w:rPr>
        <w:t>2021年度湖南省地质矿产勘查开发局四一三队</w:t>
      </w:r>
    </w:p>
    <w:p>
      <w:pPr>
        <w:jc w:val="center"/>
        <w:rPr>
          <w:rFonts w:ascii="黑体" w:eastAsia="黑体"/>
          <w:sz w:val="44"/>
          <w:szCs w:val="44"/>
        </w:rPr>
      </w:pPr>
      <w:r>
        <w:rPr>
          <w:rFonts w:hint="eastAsia" w:ascii="黑体" w:eastAsia="黑体"/>
          <w:sz w:val="44"/>
          <w:szCs w:val="44"/>
        </w:rPr>
        <w:t>整体支出绩效自评报告</w:t>
      </w:r>
    </w:p>
    <w:p>
      <w:pPr>
        <w:rPr>
          <w:rFonts w:ascii="黑体" w:eastAsia="黑体"/>
          <w:sz w:val="32"/>
          <w:szCs w:val="32"/>
        </w:rPr>
      </w:pPr>
    </w:p>
    <w:p>
      <w:pPr>
        <w:numPr>
          <w:ilvl w:val="0"/>
          <w:numId w:val="4"/>
        </w:numPr>
        <w:ind w:firstLine="640" w:firstLineChars="200"/>
        <w:rPr>
          <w:rFonts w:ascii="黑体" w:eastAsia="黑体"/>
          <w:sz w:val="32"/>
          <w:szCs w:val="32"/>
        </w:rPr>
      </w:pPr>
      <w:r>
        <w:rPr>
          <w:rFonts w:hint="eastAsia" w:ascii="黑体" w:eastAsia="黑体"/>
          <w:sz w:val="32"/>
          <w:szCs w:val="32"/>
        </w:rPr>
        <w:t>单位基本情况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一三队始建于1954年4月，现隶属湖南省地质院，是省属财政补助事业单位。主要从事地质找矿、矿产勘查与开发、工程勘察与施工、测绘、实验测试、水文地质与环境地质勘查、地质灾害调查与治理等，2004年通过了ISO9001－2000质量管理体系认证。</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四一三队内设有机关科室、地勘院、地调院、湖南省常德工程勘察院、</w:t>
      </w:r>
      <w:r>
        <w:rPr>
          <w:rFonts w:hint="eastAsia" w:ascii="仿宋" w:hAnsi="仿宋" w:eastAsia="仿宋" w:cs="仿宋"/>
          <w:color w:val="2B2B2B"/>
          <w:sz w:val="32"/>
          <w:szCs w:val="32"/>
          <w:shd w:val="clear" w:color="auto" w:fill="FFFFFF"/>
        </w:rPr>
        <w:t>水文地质环境地质勘查研究院</w:t>
      </w:r>
      <w:r>
        <w:rPr>
          <w:rFonts w:hint="eastAsia" w:ascii="仿宋" w:hAnsi="仿宋" w:eastAsia="仿宋" w:cs="仿宋"/>
          <w:sz w:val="32"/>
          <w:szCs w:val="32"/>
        </w:rPr>
        <w:t>、</w:t>
      </w:r>
      <w:r>
        <w:rPr>
          <w:rFonts w:hint="eastAsia" w:ascii="仿宋" w:hAnsi="仿宋" w:eastAsia="仿宋" w:cs="仿宋"/>
          <w:color w:val="2B2B2B"/>
          <w:sz w:val="32"/>
          <w:szCs w:val="32"/>
          <w:shd w:val="clear" w:color="auto" w:fill="FFFFFF"/>
        </w:rPr>
        <w:t>自然资源调查评价和生态修复院</w:t>
      </w:r>
      <w:r>
        <w:rPr>
          <w:rFonts w:hint="eastAsia" w:ascii="仿宋" w:hAnsi="仿宋" w:eastAsia="仿宋" w:cs="仿宋"/>
          <w:sz w:val="32"/>
          <w:szCs w:val="32"/>
        </w:rPr>
        <w:t>、图文中心、常德金地矿业投资有限公司、常德市家顺物业管理有限责任公司等职能部门。</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四一三队2021年有事业编制427人，年末实有在职人员350人。</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widowControl/>
        <w:spacing w:line="600" w:lineRule="exact"/>
        <w:ind w:firstLine="627" w:firstLineChars="196"/>
        <w:rPr>
          <w:rFonts w:ascii="楷体_GB2312" w:eastAsia="楷体_GB2312"/>
          <w:b/>
          <w:sz w:val="32"/>
          <w:szCs w:val="32"/>
        </w:rPr>
      </w:pPr>
      <w:r>
        <w:rPr>
          <w:rFonts w:hint="eastAsia" w:ascii="楷体_GB2312" w:eastAsia="楷体_GB2312"/>
          <w:b/>
          <w:sz w:val="32"/>
          <w:szCs w:val="32"/>
        </w:rPr>
        <w:t>（一）基本支出情况</w:t>
      </w:r>
    </w:p>
    <w:p>
      <w:pPr>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2021年总收入5299.28万元，其中本年收入5131.71万元（其中：财政拨款收入3883.98万元（含项目预算拨款523万元），经营收入1247.73万元），年初结转和结余167.57万元。</w:t>
      </w:r>
    </w:p>
    <w:p>
      <w:pPr>
        <w:snapToGrid w:val="0"/>
        <w:spacing w:line="56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bCs/>
          <w:sz w:val="32"/>
          <w:szCs w:val="32"/>
        </w:rPr>
        <w:t>2021年本年支出5110.87万元，其中：基本支出3357.48万元（人员经费支出3275.48万元，日常公用经费支出82万元）</w:t>
      </w:r>
      <w:r>
        <w:rPr>
          <w:rFonts w:hint="eastAsia" w:ascii="仿宋" w:hAnsi="仿宋" w:eastAsia="仿宋" w:cs="仿宋"/>
          <w:color w:val="333333"/>
          <w:sz w:val="32"/>
          <w:szCs w:val="32"/>
          <w:shd w:val="clear" w:color="auto" w:fill="FFFFFF"/>
        </w:rPr>
        <w:t>用于保障单位正常运转、完成日常工作任务及相关职能，项目支出505.66万元，经营支出1247.73万元。年末结转和结余188.41万元。</w:t>
      </w:r>
    </w:p>
    <w:p>
      <w:pPr>
        <w:snapToGrid w:val="0"/>
        <w:spacing w:line="56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公用费用中“三公”经费支出主要是用经营收入弥补，会议费与培训费支出因无业务发生，所以无支出。</w:t>
      </w:r>
    </w:p>
    <w:p>
      <w:pPr>
        <w:widowControl/>
        <w:numPr>
          <w:ilvl w:val="0"/>
          <w:numId w:val="5"/>
        </w:numPr>
        <w:spacing w:line="600" w:lineRule="exact"/>
        <w:ind w:firstLine="627" w:firstLineChars="196"/>
        <w:rPr>
          <w:rFonts w:ascii="楷体_GB2312" w:eastAsia="楷体_GB2312"/>
          <w:b/>
          <w:sz w:val="32"/>
          <w:szCs w:val="32"/>
        </w:rPr>
      </w:pPr>
      <w:r>
        <w:rPr>
          <w:rFonts w:hint="eastAsia" w:ascii="楷体_GB2312" w:eastAsia="楷体_GB2312"/>
          <w:b/>
          <w:sz w:val="32"/>
          <w:szCs w:val="32"/>
        </w:rPr>
        <w:t>项目支出情况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年初财政拨款结转167.57万元，分别是财政项目2200108自然资源行业业务管理（湖南省煤矿废水特征及生态防治方法研究）15万元、2200113地质矿产资源与环境调查（矿产资源国情调查;桑植县调查及张家界市汇总）60.79万元、2240601地质灾害防治（预拨2020年度自然灾害防治体系建设补助资金（第一批））91.78万元。这三个项目于2021年10月前支付完毕。</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今年财政项目拨款收入523万元，项目支出334.59万元，分别是：</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2240601的地质灾害防治（2021年地质灾害防治项目）235万元，2021年支出110.88万元，占该项目金额的47.18%，余124.12万元结转到2022年继续使用；</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2240601的地质灾害防治（提前下达2021年自然灾害防治体系建设补助资金预算（第一批））200万元，2021年支出200万元，占该项目金额的100%；</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2200113的地质矿产资源与环境调查（桑植县调查及张家界市汇总）88万元，2021年支出23.71万元，占该项目金额的26.94%，余64.29万元结转到2022年继续使用；即2021年财政项目支出334.59万元，项目拨款结转下年188.41万元。</w:t>
      </w:r>
    </w:p>
    <w:p>
      <w:pPr>
        <w:widowControl/>
        <w:spacing w:line="600" w:lineRule="exact"/>
        <w:ind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本单位无政府性基金预算支出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本单位无国有资本经营预算支出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本单位无社会保险基金预算支出</w:t>
      </w:r>
    </w:p>
    <w:p>
      <w:pPr>
        <w:widowControl/>
        <w:spacing w:line="600" w:lineRule="exact"/>
        <w:ind w:firstLine="640" w:firstLineChars="200"/>
        <w:jc w:val="left"/>
        <w:rPr>
          <w:rFonts w:eastAsia="黑体"/>
          <w:sz w:val="32"/>
          <w:szCs w:val="32"/>
        </w:rPr>
      </w:pPr>
      <w:r>
        <w:rPr>
          <w:rFonts w:hint="eastAsia" w:eastAsia="黑体"/>
          <w:sz w:val="32"/>
          <w:szCs w:val="32"/>
        </w:rPr>
        <w:t>六、单位整体支出绩效情况</w:t>
      </w:r>
    </w:p>
    <w:p>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1、预算收入完成情况：2021年本年收入5299.28万元，其中：财政拨款收入3883.98万元(含项目预算拨款收入523万元）、经营收入1247.73万元。年初财政拨款结转与结余167.57万元。所有资金均及时到位。</w:t>
      </w:r>
    </w:p>
    <w:p>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2、预算支出完成情况：2021年本年支出5110.87万元，其中：基本支出3357.48万元，项目支出505.56万元，经营支出1247.73万元。年末结转和结余188.41万元。支出完成率达100%。</w:t>
      </w:r>
    </w:p>
    <w:p>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资金使用合规性情况：基本支出主要是人员经费与公用经费支出，这两项一个是保民生、一个是维持工作的正常开展，按省自然资源厅及省院制定的各类财务规章制度对资金规范、安全运行，起到了较好的保障作用，资金使用符合《会计法》、《预算法》等国家法律法规和本单位财务管理制度的规定。在预算执行上，按照单位年度预算，做到统筹安排，合理使用，量入为出，留有余地。在经费的支出和核算上，资金按计划进行付款，严格执行预算，保证专款专用，提高了经费支出的使用效益。</w:t>
      </w:r>
    </w:p>
    <w:p>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4、预决算公开情况：年度的预决算情况都在省院规定的时间内、指定的范围内给予了公开。</w:t>
      </w:r>
    </w:p>
    <w:p>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5、三公经费控制情况：由于我单位是财政补助事业单位，财政预算的重点是保证工资的正常发放与工作的正常开展，在三公经费预算时没有做财政拨款上的计划，主要是经营收入上的弥补，并且按规定进行了严格的控制。</w:t>
      </w:r>
    </w:p>
    <w:p>
      <w:pPr>
        <w:widowControl/>
        <w:spacing w:line="600" w:lineRule="exact"/>
        <w:ind w:firstLine="640" w:firstLineChars="200"/>
        <w:jc w:val="left"/>
        <w:rPr>
          <w:rFonts w:eastAsia="仿宋_GB2312"/>
          <w:color w:val="000000"/>
          <w:sz w:val="32"/>
          <w:szCs w:val="32"/>
        </w:rPr>
      </w:pPr>
      <w:r>
        <w:rPr>
          <w:rFonts w:hint="eastAsia" w:ascii="仿宋" w:hAnsi="仿宋" w:eastAsia="仿宋" w:cs="仿宋"/>
          <w:color w:val="000000"/>
          <w:sz w:val="32"/>
          <w:szCs w:val="32"/>
        </w:rPr>
        <w:t>6、一般公用经费压缩情况：2021年公用经费82万元，2020年公用经费96万元，压缩率达14.58%。</w:t>
      </w:r>
    </w:p>
    <w:p>
      <w:pPr>
        <w:widowControl/>
        <w:spacing w:line="600" w:lineRule="exact"/>
        <w:ind w:firstLine="640" w:firstLineChars="200"/>
        <w:jc w:val="left"/>
        <w:rPr>
          <w:rFonts w:ascii="仿宋" w:hAnsi="仿宋" w:eastAsia="仿宋" w:cs="仿宋"/>
          <w:color w:val="333333"/>
          <w:sz w:val="32"/>
          <w:szCs w:val="32"/>
          <w:shd w:val="clear" w:color="auto" w:fill="FFFFFF"/>
        </w:rPr>
      </w:pPr>
      <w:r>
        <w:rPr>
          <w:rFonts w:hint="eastAsia" w:eastAsia="仿宋_GB2312"/>
          <w:color w:val="000000"/>
          <w:sz w:val="32"/>
          <w:szCs w:val="32"/>
        </w:rPr>
        <w:t>7、单位职责</w:t>
      </w:r>
      <w:r>
        <w:rPr>
          <w:rFonts w:hint="eastAsia" w:ascii="仿宋" w:hAnsi="仿宋" w:eastAsia="仿宋" w:cs="仿宋"/>
          <w:color w:val="333333"/>
          <w:sz w:val="32"/>
          <w:szCs w:val="32"/>
          <w:shd w:val="clear" w:color="auto" w:fill="FFFFFF"/>
        </w:rPr>
        <w:t>履行情况</w:t>
      </w:r>
      <w:r>
        <w:rPr>
          <w:rFonts w:hint="eastAsia" w:ascii="仿宋" w:hAnsi="仿宋" w:eastAsia="仿宋" w:cs="仿宋"/>
          <w:color w:val="333333"/>
          <w:sz w:val="27"/>
          <w:szCs w:val="27"/>
          <w:shd w:val="clear" w:color="auto" w:fill="FFFFFF"/>
        </w:rPr>
        <w:t> </w:t>
      </w:r>
      <w:r>
        <w:rPr>
          <w:rFonts w:hint="eastAsia" w:ascii="仿宋" w:hAnsi="仿宋" w:eastAsia="仿宋" w:cs="仿宋"/>
          <w:color w:val="333333"/>
          <w:sz w:val="32"/>
          <w:szCs w:val="32"/>
          <w:shd w:val="clear" w:color="auto" w:fill="FFFFFF"/>
        </w:rPr>
        <w:t>（2021年重点工作成效）</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color w:val="333333"/>
          <w:sz w:val="32"/>
          <w:szCs w:val="32"/>
          <w:shd w:val="clear" w:color="auto" w:fill="FFFFFF"/>
        </w:rPr>
        <w:t>（一）</w:t>
      </w:r>
      <w:r>
        <w:rPr>
          <w:rFonts w:hint="eastAsia" w:ascii="仿宋" w:hAnsi="仿宋" w:eastAsia="仿宋" w:cs="仿宋"/>
          <w:bCs/>
          <w:sz w:val="32"/>
          <w:szCs w:val="32"/>
        </w:rPr>
        <w:t>加强资源能源勘查。积极参与雪峰弧“金腰带”找金、砂石土矿专项勘查和金刚石调查等项目。承办了由南京地调中心和省院主办的“湖南地区金刚石找矿工作研讨会”，积极向省自然资源厅申报了“桃江远景区金矿找矿成果集成、异常查证与靶区优选”“湖南省桃源县马家坡矿区金矿普查（续作）”“湖南省桃源县雷打铃矿区金矿普查”三个省级地质勘查财政出资项目,目前均已通过了设计评审，进入省厅项目库，三个项目总经费为762万元。开展了“湖南省醴陵市小横江矿区桃花矿段金矿详查”勘查工作，地质技术费用约200万元。承接了桃源县桃源东风（姚家坪矿区）建筑用灰岩矿勘查、鼎城区砂石土矿规划、桑植县砂石土矿矿专项规划编制和安化县高坪建筑用砂矿勘查、安化县孟公岭建筑用灰岩矿勘查等多个砂石勘查项目。二是全程融入自然资源调查评价、监测保护、执法保障体系，对接参与全民自然资源清查，认真做好矿山“超深越界”等技术服务相关工作。积极配合南京地质调查中心，编写了2022-2023年湖南金刚石找矿工作方案，争取了2022年的项目费用42万元。</w:t>
      </w:r>
      <w:r>
        <w:rPr>
          <w:rFonts w:hint="eastAsia" w:ascii="仿宋" w:hAnsi="仿宋" w:eastAsia="仿宋" w:cs="仿宋"/>
          <w:sz w:val="32"/>
          <w:szCs w:val="32"/>
        </w:rPr>
        <w:t>桑植县矿产资源国情调查及张家界市成果汇总项目，已完成报告编制并送审。</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围绕全省生态保护与修复规划，积极参与长江流域、洞庭湖流域、湖南省主要矿集区生态修复项目，实施生态修复项目40余个，业务范围涵盖重金属污染调查、地下水环境调查评估、绿色矿山建设、露天采场生态修复等领域。继续承担了常德市矿山复绿净增面积核查、常德市国家地下水常规检测及监测等工作；参与了桃源、津市、汉寿、常德高新技术产业园区四县区域矿山生态修复工作；受龙山县自然资源局委托，开展了龙山县洗洛矿泉水、龙山县志军采石场绿色矿山第三方评估工作。围绕我省地质灾害三年行动方案，认真做好地质灾害防治工作，以高度政治责任感认真履行好桃源县、龙山县、汉寿县和桃花源管委会四县区的地灾技术支撑单位责任，开展汛前巡查、汛期排查和应急调查等工作，龙山县重大地质灾害召市镇岩门村岩门坡滑坡地质灾害防治工程立项及详细勘查设计工作，龙山县地质灾害风险普查项目已提交成果报告。精心组织实施桃江县、龙山县1：1万地质灾害调查与风险评价项目，各项工作进度整体符合省厅要求。野外验收、成果报告优良率85%，完成考核指标，桃江县、龙山县1:1万地质灾害调查地质灾害调查和风险评价项目的设计、石门县变更调查项目成果报告、薛家冲泥石流勘查项目等均达到优良等级；生态环境地质工作成果与创优计划：①健全内部质量管理体系，加强项目质量监控；由二级经营单位的技术骨干组建了质量管理小组，所有项目归类，由各项目骨干进行审核后交院总工复核方可提交成果；由队总工组织各二级院的技术专家，对各项目开展不定期的技术检查，先后对桃江县、龙山县1:1万地质灾害详细调查和风险评价项目，龙山1:1万地质灾害详细调查和风险评价项目、常德市历史遗留矿山核查等项目开展的质量检查。②积极拓展生态地质环境服务领域，在保持原有服务领域的基础上，2021年开拓了四川绵阳、西昌市场并承揽了部份业务、承担了常德市部分县市地质灾害普视化监测项目；③认真做好地质灾害防治工作，津市皇姑山滑坡地质灾害合治理工程已完成竣工验收和行政验收；④制订项目年度创优计划，确保工作成效：本年度将龙山1:1万及桃江1:1万地质灾害详细调查和风险评价项目列为重点创优项目，项目实施期间多次与省厅及省事务中心对接，参与调查实施细则的讨论，2021年11月，省自然资源厅地勘处组织专家到龙山县进行工作调研，工作成果得到了广泛认可。</w:t>
      </w:r>
    </w:p>
    <w:p>
      <w:pPr>
        <w:widowControl/>
        <w:spacing w:line="600" w:lineRule="exact"/>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（二）抓防疫、保生产：一是高度重视、压实责任；二是全面排查、正面引导；三是统筹兼顾、复工复产。</w:t>
      </w:r>
    </w:p>
    <w:p>
      <w:pPr>
        <w:widowControl/>
        <w:spacing w:line="600" w:lineRule="exact"/>
        <w:ind w:firstLine="640" w:firstLineChars="20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抓党建、正作风：一是加强政治建设和思想建设，深入开展“不忘初心、牢记使命”主题教育，积极通过“学习强国”APP开展自学，掀起了一股学习热潮。二是加强基层组织建设，严格落实“三会一课”制度，对支部的组织建设开展动态管理和监督。三是强化作风建设，坚决纠治“四风”及形式主义官僚主义，切实落实中央八项规定精神，开展廉政谈话，坚决反对腐败。</w:t>
      </w:r>
    </w:p>
    <w:p>
      <w:pPr>
        <w:widowControl/>
        <w:spacing w:line="600" w:lineRule="exact"/>
        <w:jc w:val="left"/>
        <w:rPr>
          <w:rFonts w:eastAsia="黑体"/>
          <w:sz w:val="32"/>
          <w:szCs w:val="32"/>
        </w:rPr>
      </w:pPr>
      <w:r>
        <w:rPr>
          <w:rFonts w:hint="eastAsia" w:eastAsia="黑体"/>
          <w:sz w:val="32"/>
          <w:szCs w:val="32"/>
        </w:rPr>
        <w:t>　　七、存在的问题及原因分析</w:t>
      </w:r>
    </w:p>
    <w:p>
      <w:pPr>
        <w:widowControl/>
        <w:spacing w:line="600" w:lineRule="exact"/>
        <w:ind w:firstLine="640"/>
        <w:jc w:val="left"/>
        <w:rPr>
          <w:rFonts w:ascii="仿宋" w:hAnsi="仿宋" w:eastAsia="仿宋" w:cs="仿宋"/>
          <w:sz w:val="32"/>
          <w:szCs w:val="32"/>
        </w:rPr>
      </w:pPr>
      <w:r>
        <w:rPr>
          <w:rFonts w:hint="eastAsia" w:ascii="仿宋" w:hAnsi="仿宋" w:eastAsia="仿宋" w:cs="仿宋"/>
          <w:sz w:val="32"/>
          <w:szCs w:val="32"/>
        </w:rPr>
        <w:t>1、资金使用效益有待进一步提高；</w:t>
      </w:r>
    </w:p>
    <w:p>
      <w:pPr>
        <w:widowControl/>
        <w:spacing w:line="600" w:lineRule="exact"/>
        <w:ind w:firstLine="64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333333"/>
          <w:sz w:val="32"/>
          <w:szCs w:val="32"/>
          <w:shd w:val="clear" w:color="auto" w:fill="FFFFFF"/>
        </w:rPr>
        <w:t>绩效目标设立不够明确、细化和量化。项目单位虽然设立了项目资金绩效目标，但目标不够明确、细化和量化</w:t>
      </w:r>
    </w:p>
    <w:p>
      <w:pPr>
        <w:widowControl/>
        <w:spacing w:line="600" w:lineRule="exact"/>
        <w:jc w:val="left"/>
        <w:rPr>
          <w:rFonts w:ascii="仿宋" w:hAnsi="仿宋" w:eastAsia="仿宋" w:cs="仿宋"/>
          <w:sz w:val="32"/>
          <w:szCs w:val="32"/>
        </w:rPr>
      </w:pPr>
      <w:r>
        <w:rPr>
          <w:rFonts w:hint="eastAsia" w:ascii="仿宋" w:hAnsi="仿宋" w:eastAsia="仿宋" w:cs="仿宋"/>
          <w:sz w:val="32"/>
          <w:szCs w:val="32"/>
        </w:rPr>
        <w:t>　　形成以上问题的主要原因是：预算管理工作近几年在不断完善，由以前开始时的为预算而预算，到现在的为工作开展而预算，已经有不错的进步，在资金使用效益上会慢慢的不断完善与合理。在正常的人员经费与公用经费支出上在逐步细化与量化，力争达到省财政与省院的规定要求。</w:t>
      </w:r>
    </w:p>
    <w:p>
      <w:pPr>
        <w:widowControl/>
        <w:spacing w:line="600" w:lineRule="exact"/>
        <w:jc w:val="left"/>
        <w:rPr>
          <w:rFonts w:eastAsia="黑体"/>
          <w:sz w:val="32"/>
          <w:szCs w:val="32"/>
        </w:rPr>
      </w:pPr>
      <w:r>
        <w:rPr>
          <w:rFonts w:hint="eastAsia" w:eastAsia="黑体"/>
          <w:sz w:val="32"/>
          <w:szCs w:val="32"/>
        </w:rPr>
        <w:t>　　八、下一步改进措施</w:t>
      </w:r>
    </w:p>
    <w:p>
      <w:pPr>
        <w:jc w:val="left"/>
        <w:rPr>
          <w:rFonts w:ascii="仿宋" w:hAnsi="仿宋" w:eastAsia="仿宋" w:cs="仿宋"/>
          <w:sz w:val="32"/>
          <w:szCs w:val="32"/>
        </w:rPr>
      </w:pPr>
      <w:r>
        <w:rPr>
          <w:rFonts w:hint="eastAsia" w:ascii="仿宋" w:hAnsi="仿宋" w:eastAsia="仿宋" w:cs="仿宋"/>
          <w:sz w:val="32"/>
          <w:szCs w:val="32"/>
        </w:rPr>
        <w:t>　　1、加强单位预算编制工作，根据人员情况、业务开展需要，逐项做出预算计划，预算合理，不留缺口，不留空项。</w:t>
      </w:r>
    </w:p>
    <w:p>
      <w:pPr>
        <w:rPr>
          <w:rFonts w:ascii="仿宋" w:hAnsi="仿宋" w:eastAsia="仿宋" w:cs="仿宋"/>
          <w:sz w:val="32"/>
          <w:szCs w:val="32"/>
        </w:rPr>
      </w:pPr>
      <w:r>
        <w:rPr>
          <w:rFonts w:hint="eastAsia" w:ascii="仿宋" w:hAnsi="仿宋" w:eastAsia="仿宋" w:cs="仿宋"/>
          <w:sz w:val="32"/>
          <w:szCs w:val="32"/>
        </w:rPr>
        <w:t>　　2、加强业务培训，提高评价水平。单位整体绩效评价工作是一项长期性的工作，专业性强，工作量大，要进一步加强相关的政策、业务工作培训，积极开展单位之间的经验交流，切实推进绩效评价工作的开展。</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ascii="仿宋" w:hAnsi="仿宋" w:eastAsia="仿宋" w:cs="仿宋"/>
          <w:sz w:val="32"/>
          <w:szCs w:val="32"/>
        </w:rPr>
      </w:pPr>
      <w:r>
        <w:rPr>
          <w:rFonts w:hint="eastAsia" w:eastAsia="黑体"/>
          <w:sz w:val="32"/>
          <w:szCs w:val="32"/>
        </w:rPr>
        <w:t xml:space="preserve">                       </w:t>
      </w:r>
      <w:r>
        <w:rPr>
          <w:rFonts w:hint="eastAsia" w:ascii="仿宋" w:hAnsi="仿宋" w:eastAsia="仿宋" w:cs="仿宋"/>
          <w:sz w:val="32"/>
          <w:szCs w:val="32"/>
        </w:rPr>
        <w:t xml:space="preserve">  </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after="156" w:afterLines="50" w:line="600" w:lineRule="exact"/>
        <w:jc w:val="left"/>
        <w:rPr>
          <w:rFonts w:eastAsia="黑体"/>
          <w:sz w:val="32"/>
          <w:szCs w:val="32"/>
        </w:rPr>
      </w:pPr>
      <w:r>
        <w:rPr>
          <w:rFonts w:hint="eastAsia" w:eastAsia="黑体"/>
          <w:sz w:val="32"/>
          <w:szCs w:val="32"/>
        </w:rPr>
        <w:t>附件1</w:t>
      </w:r>
    </w:p>
    <w:p>
      <w:pPr>
        <w:spacing w:after="156" w:afterLines="50" w:line="600" w:lineRule="exact"/>
        <w:jc w:val="center"/>
        <w:rPr>
          <w:rFonts w:eastAsia="仿宋_GB2312"/>
          <w:kern w:val="0"/>
          <w:sz w:val="24"/>
        </w:rPr>
      </w:pPr>
      <w:r>
        <w:rPr>
          <w:rFonts w:eastAsia="方正小标宋_GBK"/>
          <w:kern w:val="0"/>
          <w:sz w:val="36"/>
          <w:szCs w:val="36"/>
        </w:rPr>
        <w:t>202</w:t>
      </w:r>
      <w:r>
        <w:rPr>
          <w:rFonts w:hint="eastAsia" w:eastAsia="方正小标宋_GBK"/>
          <w:kern w:val="0"/>
          <w:sz w:val="36"/>
          <w:szCs w:val="36"/>
        </w:rPr>
        <w:t>1年度部门整体支出绩效评价基础数据表</w:t>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427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350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81.97%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245.43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287.57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505.66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245.43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287.57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505.66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无</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96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82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82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无</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w:t>
            </w:r>
            <w:r>
              <w:rPr>
                <w:rFonts w:hint="eastAsia" w:eastAsia="仿宋_GB2312"/>
                <w:kern w:val="0"/>
                <w:szCs w:val="21"/>
              </w:rPr>
              <w:t>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无　</w:t>
            </w:r>
          </w:p>
        </w:tc>
        <w:tc>
          <w:tcPr>
            <w:tcW w:w="84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无</w:t>
            </w:r>
          </w:p>
        </w:tc>
        <w:tc>
          <w:tcPr>
            <w:tcW w:w="112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无</w:t>
            </w:r>
          </w:p>
        </w:tc>
        <w:tc>
          <w:tcPr>
            <w:tcW w:w="1111"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无</w:t>
            </w:r>
          </w:p>
        </w:tc>
        <w:tc>
          <w:tcPr>
            <w:tcW w:w="96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无</w:t>
            </w:r>
          </w:p>
        </w:tc>
        <w:tc>
          <w:tcPr>
            <w:tcW w:w="863"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无</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jc w:val="left"/>
        <w:rPr>
          <w:rFonts w:eastAsia="仿宋_GB2312"/>
          <w:kern w:val="0"/>
          <w:sz w:val="22"/>
        </w:rPr>
      </w:pPr>
    </w:p>
    <w:p>
      <w:pPr>
        <w:widowControl/>
        <w:spacing w:after="156" w:afterLines="50" w:line="400" w:lineRule="exact"/>
        <w:ind w:left="218" w:leftChars="104"/>
        <w:jc w:val="left"/>
        <w:rPr>
          <w:rFonts w:eastAsia="黑体"/>
          <w:sz w:val="32"/>
          <w:szCs w:val="32"/>
        </w:rPr>
      </w:pPr>
      <w:r>
        <w:rPr>
          <w:rFonts w:hint="eastAsia" w:eastAsia="仿宋_GB2312"/>
          <w:kern w:val="0"/>
          <w:sz w:val="22"/>
        </w:rPr>
        <w:t>填表人：田宏生</w:t>
      </w:r>
      <w:r>
        <w:rPr>
          <w:rFonts w:eastAsia="仿宋_GB2312"/>
          <w:kern w:val="0"/>
          <w:sz w:val="22"/>
        </w:rPr>
        <w:t xml:space="preserve"> </w:t>
      </w:r>
      <w:r>
        <w:rPr>
          <w:rFonts w:hint="eastAsia" w:eastAsia="仿宋_GB2312"/>
          <w:kern w:val="0"/>
          <w:sz w:val="22"/>
        </w:rPr>
        <w:t>填报日期：2022-4-11</w:t>
      </w:r>
      <w:r>
        <w:rPr>
          <w:rFonts w:eastAsia="仿宋_GB2312"/>
          <w:kern w:val="0"/>
          <w:sz w:val="22"/>
        </w:rPr>
        <w:t xml:space="preserve">  </w:t>
      </w:r>
      <w:r>
        <w:rPr>
          <w:rFonts w:hint="eastAsia" w:eastAsia="仿宋_GB2312"/>
          <w:kern w:val="0"/>
          <w:sz w:val="22"/>
        </w:rPr>
        <w:t>联系电话：0736-2566692</w:t>
      </w:r>
      <w:r>
        <w:rPr>
          <w:rFonts w:eastAsia="仿宋_GB2312"/>
          <w:kern w:val="0"/>
          <w:sz w:val="22"/>
        </w:rPr>
        <w:t xml:space="preserve"> </w:t>
      </w:r>
      <w:r>
        <w:rPr>
          <w:rFonts w:hint="eastAsia" w:eastAsia="仿宋_GB2312"/>
          <w:kern w:val="0"/>
          <w:sz w:val="22"/>
        </w:rPr>
        <w:t>　单位负责人签字：董斌</w:t>
      </w:r>
      <w:r>
        <w:rPr>
          <w:rFonts w:eastAsia="仿宋_GB2312"/>
          <w:kern w:val="0"/>
          <w:sz w:val="22"/>
        </w:rPr>
        <w:br w:type="page"/>
      </w:r>
      <w:r>
        <w:rPr>
          <w:rFonts w:hint="eastAsia" w:eastAsia="黑体"/>
          <w:sz w:val="32"/>
          <w:szCs w:val="32"/>
        </w:rPr>
        <w:t>附件2</w:t>
      </w:r>
    </w:p>
    <w:p>
      <w:pPr>
        <w:widowControl/>
        <w:spacing w:after="156" w:afterLines="50"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1年度部门整体支出绩效自评表</w:t>
      </w:r>
    </w:p>
    <w:tbl>
      <w:tblPr>
        <w:tblStyle w:val="6"/>
        <w:tblW w:w="9993" w:type="dxa"/>
        <w:jc w:val="center"/>
        <w:tblLayout w:type="autofit"/>
        <w:tblCellMar>
          <w:top w:w="0" w:type="dxa"/>
          <w:left w:w="108" w:type="dxa"/>
          <w:bottom w:w="0" w:type="dxa"/>
          <w:right w:w="108" w:type="dxa"/>
        </w:tblCellMar>
      </w:tblPr>
      <w:tblGrid>
        <w:gridCol w:w="1080"/>
        <w:gridCol w:w="1080"/>
        <w:gridCol w:w="1061"/>
        <w:gridCol w:w="1148"/>
        <w:gridCol w:w="232"/>
        <w:gridCol w:w="1845"/>
        <w:gridCol w:w="915"/>
        <w:gridCol w:w="780"/>
        <w:gridCol w:w="690"/>
        <w:gridCol w:w="116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湖南省地质矿产勘查开发局四一三队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eastAsia="仿宋_GB2312"/>
                <w:color w:val="000000"/>
                <w:kern w:val="0"/>
                <w:szCs w:val="21"/>
              </w:rPr>
            </w:pPr>
            <w:r>
              <w:rPr>
                <w:rFonts w:hint="eastAsia" w:eastAsia="仿宋_GB2312"/>
                <w:color w:val="000000"/>
                <w:kern w:val="0"/>
                <w:szCs w:val="21"/>
              </w:rPr>
              <w:t>算申请</w:t>
            </w:r>
            <w:r>
              <w:rPr>
                <w:rFonts w:eastAsia="仿宋_GB2312"/>
                <w:color w:val="000000"/>
                <w:kern w:val="0"/>
                <w:szCs w:val="21"/>
              </w:rPr>
              <w:br w:type="textWrapping"/>
            </w:r>
            <w:r>
              <w:rPr>
                <w:rFonts w:hint="eastAsia" w:eastAsia="仿宋_GB2312"/>
                <w:color w:val="000000"/>
                <w:kern w:val="0"/>
                <w:szCs w:val="21"/>
              </w:rPr>
              <w:t>（万元）</w:t>
            </w:r>
          </w:p>
        </w:tc>
        <w:tc>
          <w:tcPr>
            <w:tcW w:w="2141"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p>
        </w:tc>
        <w:tc>
          <w:tcPr>
            <w:tcW w:w="1148"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2077"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全年预算数</w:t>
            </w:r>
          </w:p>
        </w:tc>
        <w:tc>
          <w:tcPr>
            <w:tcW w:w="915"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全年执行数</w:t>
            </w:r>
          </w:p>
        </w:tc>
        <w:tc>
          <w:tcPr>
            <w:tcW w:w="780"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分值</w:t>
            </w:r>
          </w:p>
        </w:tc>
        <w:tc>
          <w:tcPr>
            <w:tcW w:w="690"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执行率</w:t>
            </w:r>
          </w:p>
        </w:tc>
        <w:tc>
          <w:tcPr>
            <w:tcW w:w="116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440" w:hRule="atLeast"/>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2141"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color w:val="000000"/>
                <w:kern w:val="0"/>
                <w:szCs w:val="21"/>
              </w:rPr>
              <w:t>年度资金总额</w:t>
            </w:r>
          </w:p>
        </w:tc>
        <w:tc>
          <w:tcPr>
            <w:tcW w:w="1148"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5290.42</w:t>
            </w:r>
          </w:p>
        </w:tc>
        <w:tc>
          <w:tcPr>
            <w:tcW w:w="2077"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5131.71</w:t>
            </w:r>
          </w:p>
        </w:tc>
        <w:tc>
          <w:tcPr>
            <w:tcW w:w="915"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5110.87</w:t>
            </w:r>
          </w:p>
        </w:tc>
        <w:tc>
          <w:tcPr>
            <w:tcW w:w="780"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c>
          <w:tcPr>
            <w:tcW w:w="690"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100%</w:t>
            </w:r>
          </w:p>
        </w:tc>
        <w:tc>
          <w:tcPr>
            <w:tcW w:w="116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w:t>
            </w:r>
          </w:p>
        </w:tc>
      </w:tr>
      <w:tr>
        <w:tblPrEx>
          <w:tblCellMar>
            <w:top w:w="0" w:type="dxa"/>
            <w:left w:w="108" w:type="dxa"/>
            <w:bottom w:w="0" w:type="dxa"/>
            <w:right w:w="108" w:type="dxa"/>
          </w:tblCellMar>
        </w:tblPrEx>
        <w:trPr>
          <w:trHeight w:val="38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366"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按收入性质分：　　　5131.71</w:t>
            </w:r>
          </w:p>
        </w:tc>
        <w:tc>
          <w:tcPr>
            <w:tcW w:w="3547"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按支出性质分：　5110.87</w:t>
            </w:r>
          </w:p>
        </w:tc>
      </w:tr>
      <w:tr>
        <w:tblPrEx>
          <w:tblCellMar>
            <w:top w:w="0" w:type="dxa"/>
            <w:left w:w="108" w:type="dxa"/>
            <w:bottom w:w="0" w:type="dxa"/>
            <w:right w:w="108" w:type="dxa"/>
          </w:tblCellMar>
        </w:tblPrEx>
        <w:trPr>
          <w:trHeight w:val="38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366"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　　3883.98</w:t>
            </w:r>
          </w:p>
        </w:tc>
        <w:tc>
          <w:tcPr>
            <w:tcW w:w="3547"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其中：基本支出：　3357.48</w:t>
            </w:r>
          </w:p>
        </w:tc>
      </w:tr>
      <w:tr>
        <w:tblPrEx>
          <w:tblCellMar>
            <w:top w:w="0" w:type="dxa"/>
            <w:left w:w="108" w:type="dxa"/>
            <w:bottom w:w="0" w:type="dxa"/>
            <w:right w:w="108" w:type="dxa"/>
          </w:tblCellMar>
        </w:tblPrEx>
        <w:trPr>
          <w:trHeight w:val="38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366"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政府性基金拨款：</w:t>
            </w:r>
          </w:p>
        </w:tc>
        <w:tc>
          <w:tcPr>
            <w:tcW w:w="3547"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项目支出：　505.66</w:t>
            </w:r>
          </w:p>
        </w:tc>
      </w:tr>
      <w:tr>
        <w:tblPrEx>
          <w:tblCellMar>
            <w:top w:w="0" w:type="dxa"/>
            <w:left w:w="108" w:type="dxa"/>
            <w:bottom w:w="0" w:type="dxa"/>
            <w:right w:w="108" w:type="dxa"/>
          </w:tblCellMar>
        </w:tblPrEx>
        <w:trPr>
          <w:trHeight w:val="39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366"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纳入专户管理的非税收入拨款：</w:t>
            </w:r>
          </w:p>
        </w:tc>
        <w:tc>
          <w:tcPr>
            <w:tcW w:w="3547"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经营支出：　1247.73</w:t>
            </w:r>
          </w:p>
        </w:tc>
      </w:tr>
      <w:tr>
        <w:tblPrEx>
          <w:tblCellMar>
            <w:top w:w="0" w:type="dxa"/>
            <w:left w:w="108" w:type="dxa"/>
            <w:bottom w:w="0" w:type="dxa"/>
            <w:right w:w="108" w:type="dxa"/>
          </w:tblCellMar>
        </w:tblPrEx>
        <w:trPr>
          <w:trHeight w:val="420" w:hRule="atLeast"/>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5366"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其他资金：</w:t>
            </w:r>
          </w:p>
        </w:tc>
        <w:tc>
          <w:tcPr>
            <w:tcW w:w="3547"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5366"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354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5366"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党建工作持续加强，改革工作平稳有序，地质担当彰显有力，经济运行平稳过渡，队伍建设和谐稳定　　　　</w:t>
            </w:r>
          </w:p>
        </w:tc>
        <w:tc>
          <w:tcPr>
            <w:tcW w:w="3547"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按照年度总体目标，有序推进各项工作，已完成预期目标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84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w:t>
            </w:r>
          </w:p>
          <w:p>
            <w:pPr>
              <w:widowControl/>
              <w:spacing w:line="240" w:lineRule="exact"/>
              <w:rPr>
                <w:rFonts w:eastAsia="仿宋_GB2312"/>
                <w:color w:val="000000"/>
                <w:kern w:val="0"/>
                <w:szCs w:val="21"/>
              </w:rPr>
            </w:pPr>
            <w:r>
              <w:rPr>
                <w:rFonts w:hint="eastAsia" w:eastAsia="仿宋_GB2312"/>
                <w:color w:val="000000"/>
                <w:kern w:val="0"/>
                <w:szCs w:val="21"/>
              </w:rPr>
              <w:t>完成值</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46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061" w:type="dxa"/>
            <w:vMerge w:val="restart"/>
            <w:tcBorders>
              <w:top w:val="nil"/>
              <w:left w:val="nil"/>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收入完成率</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(预算收入实际数/预算数)*100%　</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52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061" w:type="dxa"/>
            <w:vMerge w:val="continue"/>
            <w:tcBorders>
              <w:left w:val="nil"/>
              <w:bottom w:val="single" w:color="auto" w:sz="4" w:space="0"/>
              <w:right w:val="single" w:color="auto" w:sz="4" w:space="0"/>
            </w:tcBorders>
            <w:vAlign w:val="center"/>
          </w:tcPr>
          <w:p>
            <w:pPr>
              <w:spacing w:line="240" w:lineRule="exact"/>
              <w:jc w:val="center"/>
              <w:rPr>
                <w:rFonts w:eastAsia="仿宋_GB2312"/>
                <w:color w:val="000000"/>
                <w:kern w:val="0"/>
                <w:szCs w:val="21"/>
              </w:rPr>
            </w:pP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支出完成率</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(预算支出完成数/支出预算数) *100%</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4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资金使用合规性</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资金使用合法合规</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预决算公开</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在规定期限内公开</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061"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三公经费控制率</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零增长</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50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1"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ascii="仿宋" w:hAnsi="仿宋" w:eastAsia="仿宋" w:cs="仿宋"/>
              </w:rPr>
              <w:t>一般公用经费压缩率</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较年初预算压减10%</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3</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3</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地质主业</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发展态势良好</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确保民生</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保持队伍稳定</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环境保护</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效果很好</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p>
            <w:pPr>
              <w:widowControl/>
              <w:spacing w:line="240" w:lineRule="exact"/>
              <w:jc w:val="left"/>
              <w:rPr>
                <w:rFonts w:eastAsia="仿宋_GB2312"/>
                <w:color w:val="000000"/>
                <w:kern w:val="0"/>
                <w:szCs w:val="21"/>
              </w:rPr>
            </w:pPr>
            <w:r>
              <w:rPr>
                <w:rFonts w:hint="eastAsia" w:eastAsia="仿宋_GB2312"/>
                <w:color w:val="000000"/>
                <w:kern w:val="0"/>
                <w:szCs w:val="21"/>
              </w:rPr>
              <w:t>满意度</w:t>
            </w:r>
          </w:p>
          <w:p>
            <w:pPr>
              <w:widowControl/>
              <w:spacing w:line="240" w:lineRule="exact"/>
              <w:jc w:val="left"/>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持续发展主业</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发展态势良好</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80" w:type="dxa"/>
            <w:vMerge w:val="continue"/>
            <w:tcBorders>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380"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服务基层</w:t>
            </w:r>
          </w:p>
        </w:tc>
        <w:tc>
          <w:tcPr>
            <w:tcW w:w="1845"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效果很好　</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535" w:hRule="atLeast"/>
          <w:jc w:val="center"/>
        </w:trPr>
        <w:tc>
          <w:tcPr>
            <w:tcW w:w="7361"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116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240" w:lineRule="exact"/>
        <w:jc w:val="left"/>
        <w:rPr>
          <w:rFonts w:eastAsia="仿宋_GB2312"/>
          <w:kern w:val="0"/>
          <w:szCs w:val="21"/>
        </w:rPr>
      </w:pPr>
    </w:p>
    <w:p>
      <w:pPr>
        <w:widowControl/>
        <w:spacing w:line="600" w:lineRule="exact"/>
        <w:jc w:val="left"/>
        <w:rPr>
          <w:rFonts w:eastAsia="仿宋_GB2312"/>
          <w:kern w:val="0"/>
          <w:szCs w:val="21"/>
        </w:rPr>
      </w:pPr>
      <w:r>
        <w:rPr>
          <w:rFonts w:hint="eastAsia" w:eastAsia="仿宋_GB2312"/>
          <w:kern w:val="0"/>
          <w:szCs w:val="21"/>
        </w:rPr>
        <w:t>填表人：田宏生</w:t>
      </w:r>
      <w:r>
        <w:rPr>
          <w:rFonts w:eastAsia="仿宋_GB2312"/>
          <w:kern w:val="0"/>
          <w:szCs w:val="21"/>
        </w:rPr>
        <w:t xml:space="preserve">  </w:t>
      </w:r>
      <w:r>
        <w:rPr>
          <w:rFonts w:hint="eastAsia" w:eastAsia="仿宋_GB2312"/>
          <w:kern w:val="0"/>
          <w:szCs w:val="21"/>
        </w:rPr>
        <w:t>填报日期：2022-4-11</w:t>
      </w:r>
      <w:r>
        <w:rPr>
          <w:rFonts w:eastAsia="仿宋_GB2312"/>
          <w:kern w:val="0"/>
          <w:szCs w:val="21"/>
        </w:rPr>
        <w:t xml:space="preserve">   </w:t>
      </w:r>
      <w:r>
        <w:rPr>
          <w:rFonts w:hint="eastAsia" w:eastAsia="仿宋_GB2312"/>
          <w:kern w:val="0"/>
          <w:szCs w:val="21"/>
        </w:rPr>
        <w:t>联系电话：0736-2566692</w:t>
      </w:r>
      <w:r>
        <w:rPr>
          <w:rFonts w:eastAsia="仿宋_GB2312"/>
          <w:kern w:val="0"/>
          <w:szCs w:val="21"/>
        </w:rPr>
        <w:t xml:space="preserve">    </w:t>
      </w:r>
      <w:r>
        <w:rPr>
          <w:rFonts w:hint="eastAsia" w:eastAsia="仿宋_GB2312"/>
          <w:kern w:val="0"/>
          <w:szCs w:val="21"/>
        </w:rPr>
        <w:t>单位负责人签字：董斌</w:t>
      </w:r>
    </w:p>
    <w:p>
      <w:pPr>
        <w:widowControl/>
        <w:spacing w:line="600" w:lineRule="exact"/>
        <w:ind w:left="-840" w:leftChars="-400"/>
        <w:jc w:val="left"/>
        <w:rPr>
          <w:rFonts w:eastAsia="仿宋_GB2312"/>
          <w:kern w:val="0"/>
          <w:szCs w:val="21"/>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CA16C"/>
    <w:multiLevelType w:val="singleLevel"/>
    <w:tmpl w:val="DD0CA16C"/>
    <w:lvl w:ilvl="0" w:tentative="0">
      <w:start w:val="1"/>
      <w:numFmt w:val="chineseCounting"/>
      <w:suff w:val="nothing"/>
      <w:lvlText w:val="%1、"/>
      <w:lvlJc w:val="left"/>
      <w:rPr>
        <w:rFonts w:hint="eastAsia"/>
      </w:rPr>
    </w:lvl>
  </w:abstractNum>
  <w:abstractNum w:abstractNumId="1">
    <w:nsid w:val="08B449A9"/>
    <w:multiLevelType w:val="singleLevel"/>
    <w:tmpl w:val="08B449A9"/>
    <w:lvl w:ilvl="0" w:tentative="0">
      <w:start w:val="8"/>
      <w:numFmt w:val="decimal"/>
      <w:suff w:val="nothing"/>
      <w:lvlText w:val="%1、"/>
      <w:lvlJc w:val="left"/>
    </w:lvl>
  </w:abstractNum>
  <w:abstractNum w:abstractNumId="2">
    <w:nsid w:val="19DCD787"/>
    <w:multiLevelType w:val="singleLevel"/>
    <w:tmpl w:val="19DCD787"/>
    <w:lvl w:ilvl="0" w:tentative="0">
      <w:start w:val="2"/>
      <w:numFmt w:val="chineseCounting"/>
      <w:suff w:val="nothing"/>
      <w:lvlText w:val="（%1）"/>
      <w:lvlJc w:val="left"/>
      <w:rPr>
        <w:rFonts w:hint="eastAsia"/>
      </w:rPr>
    </w:lvl>
  </w:abstractNum>
  <w:abstractNum w:abstractNumId="3">
    <w:nsid w:val="2B2F3F35"/>
    <w:multiLevelType w:val="singleLevel"/>
    <w:tmpl w:val="2B2F3F35"/>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mNmNGI0ZTE3NzY4YmE3NjExYjE1ZDBiYjZjYTMifQ=="/>
  </w:docVars>
  <w:rsids>
    <w:rsidRoot w:val="004506F9"/>
    <w:rsid w:val="0002229B"/>
    <w:rsid w:val="000273BD"/>
    <w:rsid w:val="00034011"/>
    <w:rsid w:val="000415B7"/>
    <w:rsid w:val="00041E3F"/>
    <w:rsid w:val="00055DAA"/>
    <w:rsid w:val="00061F7B"/>
    <w:rsid w:val="000658A3"/>
    <w:rsid w:val="00074155"/>
    <w:rsid w:val="000873EF"/>
    <w:rsid w:val="000A3F69"/>
    <w:rsid w:val="000C15C6"/>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0423A"/>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C19C2"/>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2358"/>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B4B38"/>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F03C0"/>
    <w:rsid w:val="00AF22F3"/>
    <w:rsid w:val="00B33BEA"/>
    <w:rsid w:val="00B57C9F"/>
    <w:rsid w:val="00B63572"/>
    <w:rsid w:val="00B845B3"/>
    <w:rsid w:val="00B85D8B"/>
    <w:rsid w:val="00BB4A40"/>
    <w:rsid w:val="00BD6C3E"/>
    <w:rsid w:val="00BE3674"/>
    <w:rsid w:val="00C10681"/>
    <w:rsid w:val="00C3049A"/>
    <w:rsid w:val="00C31B1E"/>
    <w:rsid w:val="00C77645"/>
    <w:rsid w:val="00CB3A1C"/>
    <w:rsid w:val="00CC6FC8"/>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0F31"/>
    <w:rsid w:val="00E67BE6"/>
    <w:rsid w:val="00E8683C"/>
    <w:rsid w:val="00EA2B72"/>
    <w:rsid w:val="00F74360"/>
    <w:rsid w:val="00FB462F"/>
    <w:rsid w:val="00FE16FA"/>
    <w:rsid w:val="00FE328A"/>
    <w:rsid w:val="00FE6269"/>
    <w:rsid w:val="00FF5CD6"/>
    <w:rsid w:val="01857399"/>
    <w:rsid w:val="067E1834"/>
    <w:rsid w:val="0A1B60BD"/>
    <w:rsid w:val="0C0F2FB7"/>
    <w:rsid w:val="0F5C3CAC"/>
    <w:rsid w:val="10236DE6"/>
    <w:rsid w:val="10AC0C59"/>
    <w:rsid w:val="1A297298"/>
    <w:rsid w:val="1AA30516"/>
    <w:rsid w:val="1FCF6817"/>
    <w:rsid w:val="2B4F2C16"/>
    <w:rsid w:val="30B81C25"/>
    <w:rsid w:val="33D50F90"/>
    <w:rsid w:val="3D6F08F9"/>
    <w:rsid w:val="41AE6F4C"/>
    <w:rsid w:val="42A10E38"/>
    <w:rsid w:val="49AD0E12"/>
    <w:rsid w:val="4BD773ED"/>
    <w:rsid w:val="4C244D8C"/>
    <w:rsid w:val="5837506F"/>
    <w:rsid w:val="5E4374E1"/>
    <w:rsid w:val="5F05472E"/>
    <w:rsid w:val="62844CCC"/>
    <w:rsid w:val="64196500"/>
    <w:rsid w:val="64A15AC5"/>
    <w:rsid w:val="6AB41548"/>
    <w:rsid w:val="6C142B7E"/>
    <w:rsid w:val="6D691612"/>
    <w:rsid w:val="70D937AF"/>
    <w:rsid w:val="75595745"/>
    <w:rsid w:val="759F14A3"/>
    <w:rsid w:val="7C32536A"/>
    <w:rsid w:val="7E175DA3"/>
    <w:rsid w:val="7FFF77A1"/>
    <w:rsid w:val="EBEE0176"/>
    <w:rsid w:val="F3EE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9492</Words>
  <Characters>10630</Characters>
  <Lines>83</Lines>
  <Paragraphs>23</Paragraphs>
  <TotalTime>0</TotalTime>
  <ScaleCrop>false</ScaleCrop>
  <LinksUpToDate>false</LinksUpToDate>
  <CharactersWithSpaces>11128</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姚娟</cp:lastModifiedBy>
  <cp:lastPrinted>2022-07-27T20:55:00Z</cp:lastPrinted>
  <dcterms:modified xsi:type="dcterms:W3CDTF">2023-09-26T03:15:46Z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5D1FAE7A03C248FC98B2F08E99954254</vt:lpwstr>
  </property>
</Properties>
</file>